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left="0" w:firstLine="0"/>
        <w:jc w:val="both"/>
        <w:rPr>
          <w:rFonts w:hint="eastAsia" w:ascii="仿宋" w:hAnsi="仿宋" w:eastAsia="仿宋" w:cs="仿宋"/>
          <w:bCs/>
          <w:color w:val="auto"/>
          <w:spacing w:val="76"/>
          <w:sz w:val="156"/>
          <w:highlight w:val="none"/>
        </w:rPr>
      </w:pPr>
      <w:r>
        <w:rPr>
          <w:rFonts w:hint="eastAsia" w:ascii="仿宋" w:hAnsi="仿宋" w:eastAsia="仿宋" w:cs="仿宋"/>
          <w:bCs/>
          <w:color w:val="auto"/>
          <w:spacing w:val="76"/>
          <w:sz w:val="156"/>
          <w:highlight w:val="none"/>
        </w:rPr>
      </w:r>
      <w:r/>
    </w:p>
    <w:p>
      <w:pPr>
        <w:pStyle w:val="978"/>
        <w:rPr>
          <w:rFonts w:hint="eastAsia" w:ascii="仿宋" w:hAnsi="仿宋" w:eastAsia="仿宋" w:cs="仿宋"/>
          <w:bCs/>
          <w:color w:val="auto"/>
          <w:spacing w:val="76"/>
          <w:sz w:val="156"/>
          <w:highlight w:val="none"/>
        </w:rPr>
      </w:pPr>
      <w:r>
        <w:rPr>
          <w:rFonts w:hint="eastAsia" w:ascii="仿宋" w:hAnsi="仿宋" w:eastAsia="仿宋" w:cs="仿宋"/>
          <w:bCs/>
          <w:color w:val="auto"/>
          <w:spacing w:val="76"/>
          <w:sz w:val="156"/>
          <w:highlight w:val="none"/>
        </w:rPr>
      </w:r>
      <w:r/>
    </w:p>
    <w:p>
      <w:pPr>
        <w:pStyle w:val="979"/>
        <w:rPr>
          <w:rFonts w:hint="eastAsia" w:ascii="仿宋" w:hAnsi="仿宋" w:eastAsia="仿宋" w:cs="仿宋"/>
          <w:bCs/>
          <w:color w:val="auto"/>
          <w:spacing w:val="76"/>
          <w:sz w:val="156"/>
          <w:highlight w:val="none"/>
        </w:rPr>
      </w:pPr>
      <w:r>
        <w:rPr>
          <w:rFonts w:hint="eastAsia" w:ascii="仿宋" w:hAnsi="仿宋" w:eastAsia="仿宋" w:cs="仿宋"/>
          <w:bCs/>
          <w:color w:val="auto"/>
          <w:spacing w:val="76"/>
          <w:sz w:val="156"/>
          <w:highlight w:val="none"/>
        </w:rPr>
      </w:r>
      <w:r/>
    </w:p>
    <w:p>
      <w:pPr>
        <w:pStyle w:val="979"/>
        <w:ind w:left="0" w:firstLine="0"/>
        <w:rPr>
          <w:rFonts w:hint="eastAsia" w:ascii="仿宋" w:hAnsi="仿宋" w:eastAsia="仿宋" w:cs="仿宋"/>
          <w:bCs/>
          <w:color w:val="auto"/>
          <w:spacing w:val="76"/>
          <w:sz w:val="156"/>
          <w:highlight w:val="none"/>
        </w:rPr>
      </w:pPr>
      <w:r>
        <w:rPr>
          <w:rFonts w:hint="eastAsia" w:ascii="仿宋" w:hAnsi="仿宋" w:eastAsia="仿宋" w:cs="仿宋"/>
          <w:bCs/>
          <w:color w:val="auto"/>
          <w:spacing w:val="76"/>
          <w:sz w:val="156"/>
          <w:highlight w:val="none"/>
        </w:rPr>
      </w:r>
      <w:r/>
    </w:p>
    <w:p>
      <w:pPr>
        <w:pStyle w:val="975"/>
        <w:rPr>
          <w:rFonts w:hint="eastAsia"/>
          <w:color w:val="auto"/>
          <w:highlight w:val="none"/>
        </w:rPr>
      </w:pPr>
      <w:r>
        <w:rPr>
          <w:rFonts w:hint="eastAsia"/>
          <w:color w:val="auto"/>
          <w:highlight w:val="none"/>
        </w:rPr>
      </w:r>
      <w:r/>
    </w:p>
    <w:p>
      <w:pPr>
        <w:pStyle w:val="977"/>
        <w:ind w:firstLine="198"/>
        <w:jc w:val="center"/>
        <w:keepLines w:val="0"/>
        <w:keepNext w:val="0"/>
        <w:pageBreakBefore w:val="0"/>
        <w:spacing w:line="240" w:lineRule="auto"/>
        <w:widowControl w:val="off"/>
        <w:rPr>
          <w:rFonts w:hint="eastAsia" w:ascii="宋体" w:hAnsi="宋体" w:eastAsia="宋体" w:cs="宋体"/>
          <w:b/>
          <w:color w:val="auto"/>
          <w:sz w:val="32"/>
          <w:highlight w:val="none"/>
        </w:rPr>
      </w:pPr>
      <w:r>
        <w:rPr>
          <w:rFonts w:hint="eastAsia" w:ascii="宋体" w:hAnsi="宋体" w:eastAsia="宋体" w:cs="宋体"/>
          <w:bCs/>
          <w:color w:val="auto"/>
          <w:spacing w:val="76"/>
          <w:sz w:val="156"/>
          <w:highlight w:val="none"/>
        </w:rPr>
        <w:t xml:space="preserve">招标文件</w:t>
      </w:r>
      <w:r/>
    </w:p>
    <w:p>
      <w:pPr>
        <w:pStyle w:val="977"/>
        <w:rPr>
          <w:rFonts w:ascii="仿宋" w:hAnsi="仿宋" w:eastAsia="仿宋" w:cs="仿宋"/>
          <w:b/>
          <w:color w:val="auto"/>
          <w:sz w:val="32"/>
          <w:highlight w:val="none"/>
        </w:rPr>
      </w:pPr>
      <w:r>
        <w:rPr>
          <w:rFonts w:ascii="仿宋" w:hAnsi="仿宋" w:eastAsia="仿宋" w:cs="仿宋"/>
          <w:b/>
          <w:color w:val="auto"/>
          <w:sz w:val="32"/>
          <w:highlight w:val="none"/>
        </w:rPr>
      </w:r>
      <w:r/>
    </w:p>
    <w:p>
      <w:pPr>
        <w:pStyle w:val="977"/>
        <w:ind w:firstLine="640"/>
        <w:spacing w:line="360" w:lineRule="auto"/>
        <w:rPr>
          <w:rFonts w:ascii="仿宋" w:hAnsi="仿宋" w:eastAsia="仿宋" w:cs="仿宋"/>
          <w:color w:val="auto"/>
          <w:sz w:val="32"/>
          <w:highlight w:val="none"/>
        </w:rPr>
      </w:pPr>
      <w:r>
        <w:rPr>
          <w:rFonts w:ascii="仿宋" w:hAnsi="仿宋" w:eastAsia="仿宋" w:cs="仿宋"/>
          <w:color w:val="auto"/>
          <w:sz w:val="32"/>
          <w:highlight w:val="none"/>
        </w:rPr>
      </w:r>
      <w:r/>
    </w:p>
    <w:p>
      <w:pPr>
        <w:pStyle w:val="977"/>
        <w:ind w:left="2238" w:hanging="1600"/>
        <w:spacing w:line="360" w:lineRule="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项目名称：</w:t>
      </w:r>
      <w:r>
        <w:rPr>
          <w:rFonts w:hint="eastAsia" w:ascii="仿宋" w:hAnsi="仿宋" w:eastAsia="仿宋" w:cs="仿宋"/>
          <w:color w:val="auto"/>
          <w:sz w:val="32"/>
          <w:highlight w:val="none"/>
          <w:lang w:eastAsia="zh-CN"/>
        </w:rPr>
        <w:t xml:space="preserve">区域养老服务中心医养结合提升项目（一期）医疗、康复等相关运营设备采购</w:t>
      </w:r>
      <w:r/>
    </w:p>
    <w:p>
      <w:pPr>
        <w:pStyle w:val="977"/>
        <w:ind w:firstLine="640"/>
        <w:spacing w:line="360" w:lineRule="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项目编号：</w:t>
      </w:r>
      <w:r>
        <w:rPr>
          <w:rFonts w:hint="eastAsia" w:ascii="仿宋" w:hAnsi="仿宋" w:eastAsia="仿宋" w:cs="仿宋"/>
          <w:color w:val="auto"/>
          <w:sz w:val="32"/>
          <w:highlight w:val="none"/>
          <w:lang w:eastAsia="zh-CN"/>
        </w:rPr>
        <w:t xml:space="preserve">JSZC-320312-ZHNJ-G2025-0016</w:t>
      </w:r>
      <w:r/>
    </w:p>
    <w:p>
      <w:pPr>
        <w:pStyle w:val="977"/>
        <w:ind w:left="2238" w:hanging="1600"/>
        <w:spacing w:line="360" w:lineRule="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采 购 人：</w:t>
      </w:r>
      <w:r>
        <w:rPr>
          <w:rFonts w:hint="eastAsia" w:ascii="仿宋" w:hAnsi="仿宋" w:eastAsia="仿宋" w:cs="仿宋"/>
          <w:color w:val="auto"/>
          <w:sz w:val="32"/>
          <w:highlight w:val="none"/>
          <w:lang w:eastAsia="zh-CN"/>
        </w:rPr>
        <w:t xml:space="preserve">徐州市铜山区民政局（机关）</w:t>
      </w:r>
      <w:r/>
    </w:p>
    <w:p>
      <w:pPr>
        <w:pStyle w:val="977"/>
        <w:ind w:firstLine="562"/>
        <w:spacing w:line="360" w:lineRule="auto"/>
        <w:rPr>
          <w:rFonts w:ascii="仿宋" w:hAnsi="仿宋" w:eastAsia="仿宋" w:cs="仿宋"/>
          <w:b/>
          <w:color w:val="auto"/>
          <w:sz w:val="32"/>
          <w:highlight w:val="none"/>
        </w:rPr>
      </w:pPr>
      <w:r>
        <w:rPr>
          <w:rFonts w:ascii="仿宋" w:hAnsi="仿宋" w:eastAsia="仿宋" w:cs="仿宋"/>
          <w:b/>
          <w:color w:val="auto"/>
          <w:sz w:val="32"/>
          <w:highlight w:val="none"/>
        </w:rPr>
      </w:r>
      <w:r/>
    </w:p>
    <w:p>
      <w:pPr>
        <w:pStyle w:val="977"/>
        <w:jc w:val="cente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977"/>
        <w:jc w:val="cente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977"/>
        <w:jc w:val="cente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977"/>
        <w:ind w:firstLine="1280"/>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977"/>
        <w:ind w:firstLine="640"/>
        <w:spacing w:line="36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采购代理机构：</w:t>
      </w:r>
      <w:r>
        <w:rPr>
          <w:rFonts w:hint="eastAsia" w:ascii="仿宋" w:hAnsi="仿宋" w:eastAsia="仿宋" w:cs="仿宋"/>
          <w:color w:val="auto"/>
          <w:sz w:val="32"/>
          <w:szCs w:val="32"/>
          <w:highlight w:val="none"/>
          <w:lang w:eastAsia="zh-CN"/>
        </w:rPr>
        <w:t xml:space="preserve">中慧力祥项目管理有限公司</w:t>
      </w:r>
      <w:r/>
    </w:p>
    <w:p>
      <w:pPr>
        <w:pStyle w:val="1006"/>
        <w:ind w:firstLine="640"/>
        <w:jc w:val="cente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2025年10</w:t>
      </w:r>
      <w:r>
        <w:rPr>
          <w:rFonts w:hint="eastAsia" w:ascii="仿宋" w:hAnsi="仿宋" w:eastAsia="仿宋" w:cs="仿宋"/>
          <w:color w:val="auto"/>
          <w:sz w:val="32"/>
          <w:szCs w:val="32"/>
          <w:highlight w:val="none"/>
        </w:rPr>
        <w:t xml:space="preserve">月</w:t>
      </w:r>
      <w:r/>
    </w:p>
    <w:p>
      <w:pPr>
        <w:pStyle w:val="977"/>
        <w:jc w:val="left"/>
        <w:spacing w:line="360" w:lineRule="auto"/>
        <w:widowControl/>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color w:val="auto"/>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color w:val="auto"/>
          <w:highlight w:val="none"/>
        </w:rPr>
      </w:r>
      <w:r/>
    </w:p>
    <w:p>
      <w:pPr>
        <w:pStyle w:val="784"/>
        <w:ind w:firstLine="88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总目录</w:t>
      </w:r>
      <w:r/>
    </w:p>
    <w:p>
      <w:pPr>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 投标邀请</w:t>
      </w:r>
      <w:r/>
    </w:p>
    <w:p>
      <w:pPr>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投标人须知</w:t>
      </w:r>
      <w:r/>
    </w:p>
    <w:p>
      <w:pPr>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第三章 投标资料表</w:t>
      </w:r>
      <w:r/>
    </w:p>
    <w:p>
      <w:pPr>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第四章 评标标准</w:t>
      </w:r>
      <w:r/>
    </w:p>
    <w:p>
      <w:pPr>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 拟签订的合同文本</w:t>
      </w:r>
      <w:r/>
    </w:p>
    <w:p>
      <w:pPr>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第六章 采购需求</w:t>
      </w:r>
      <w:r/>
    </w:p>
    <w:p>
      <w:pPr>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第七章 投标文件相关格式</w:t>
      </w:r>
      <w:r/>
    </w:p>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pStyle w:val="977"/>
        <w:ind w:firstLine="643"/>
        <w:jc w:val="center"/>
        <w:spacing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rPr>
          <w:color w:val="auto"/>
          <w:highlight w:val="none"/>
        </w:rPr>
        <w:sectPr>
          <w:headerReference w:type="default" r:id="rId10"/>
          <w:footnotePr/>
          <w:endnotePr/>
          <w:type w:val="nextPage"/>
          <w:pgSz w:w="11906" w:h="16838" w:orient="portrait"/>
          <w:pgMar w:top="1304" w:right="1361" w:bottom="1304" w:left="1361" w:header="737" w:footer="992" w:gutter="0"/>
          <w:cols w:num="1" w:sep="0" w:space="1701" w:equalWidth="1"/>
          <w:docGrid w:linePitch="360"/>
        </w:sectPr>
      </w:pPr>
      <w:r>
        <w:rPr>
          <w:color w:val="auto"/>
          <w:highlight w:val="none"/>
        </w:rPr>
      </w:r>
      <w:r/>
    </w:p>
    <w:p>
      <w:pPr>
        <w:ind w:firstLine="600"/>
        <w:jc w:val="center"/>
        <w:pageBreakBefore/>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第一章  投标邀请</w:t>
      </w:r>
      <w:r/>
    </w:p>
    <w:p>
      <w:pPr>
        <w:pStyle w:val="977"/>
        <w:ind w:firstLine="480"/>
        <w:rPr>
          <w:rFonts w:ascii="仿宋" w:hAnsi="仿宋" w:eastAsia="仿宋" w:cs="仿宋"/>
          <w:color w:val="auto"/>
          <w:sz w:val="22"/>
          <w:szCs w:val="22"/>
          <w:highlight w:val="none"/>
        </w:rPr>
      </w:pPr>
      <w:r>
        <w:rPr>
          <w:rFonts w:ascii="仿宋" w:hAnsi="仿宋" w:eastAsia="仿宋" w:cs="仿宋"/>
          <w:color w:val="auto"/>
          <w:sz w:val="22"/>
          <w:szCs w:val="22"/>
          <w:highlight w:val="none"/>
        </w:rPr>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中慧力祥项目管理有限公司</w:t>
      </w:r>
      <w:r>
        <w:rPr>
          <w:rFonts w:hint="eastAsia" w:ascii="仿宋" w:hAnsi="仿宋" w:eastAsia="仿宋" w:cs="仿宋"/>
          <w:color w:val="auto"/>
          <w:sz w:val="28"/>
          <w:szCs w:val="28"/>
          <w:highlight w:val="none"/>
        </w:rPr>
        <w:t xml:space="preserve">受</w:t>
      </w:r>
      <w:r>
        <w:rPr>
          <w:rFonts w:hint="eastAsia" w:ascii="仿宋" w:hAnsi="仿宋" w:eastAsia="仿宋" w:cs="仿宋"/>
          <w:color w:val="auto"/>
          <w:sz w:val="28"/>
          <w:szCs w:val="28"/>
          <w:highlight w:val="none"/>
          <w:lang w:eastAsia="zh-CN"/>
        </w:rPr>
        <w:t xml:space="preserve">徐州市铜山区民政局（机关）</w:t>
      </w:r>
      <w:r>
        <w:rPr>
          <w:rFonts w:hint="eastAsia" w:ascii="仿宋" w:hAnsi="仿宋" w:eastAsia="仿宋" w:cs="仿宋"/>
          <w:color w:val="auto"/>
          <w:sz w:val="28"/>
          <w:szCs w:val="28"/>
          <w:highlight w:val="none"/>
        </w:rPr>
        <w:t xml:space="preserve">委托，对</w:t>
      </w:r>
      <w:r>
        <w:rPr>
          <w:rFonts w:hint="eastAsia" w:ascii="仿宋" w:hAnsi="仿宋" w:eastAsia="仿宋" w:cs="仿宋"/>
          <w:color w:val="auto"/>
          <w:sz w:val="28"/>
          <w:szCs w:val="28"/>
          <w:highlight w:val="none"/>
          <w:lang w:eastAsia="zh-CN"/>
        </w:rPr>
        <w:t xml:space="preserve">区域养老服务中心医养结合提升项目（一期）医疗、康复等相关运营设备采购</w:t>
      </w:r>
      <w:r>
        <w:rPr>
          <w:rFonts w:hint="eastAsia" w:ascii="仿宋" w:hAnsi="仿宋" w:eastAsia="仿宋" w:cs="仿宋"/>
          <w:color w:val="auto"/>
          <w:sz w:val="28"/>
          <w:szCs w:val="28"/>
          <w:highlight w:val="none"/>
        </w:rPr>
        <w:t xml:space="preserve">进行公开招标采购，现邀请符合相关条件的供应商投标。</w:t>
      </w:r>
      <w:r/>
    </w:p>
    <w:p>
      <w:pPr>
        <w:pStyle w:val="977"/>
        <w:ind w:firstLine="482"/>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一、项目名称和项目编号</w:t>
      </w:r>
      <w:r/>
    </w:p>
    <w:p>
      <w:pPr>
        <w:pStyle w:val="977"/>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区域养老服务中心医养结合提升项目（一期）医疗、康复等相关运营设备采购</w:t>
      </w:r>
      <w:r/>
    </w:p>
    <w:p>
      <w:pPr>
        <w:pStyle w:val="977"/>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JSZC-320312-ZHNJ-G2025-0016</w:t>
      </w:r>
      <w:r/>
    </w:p>
    <w:p>
      <w:pPr>
        <w:pStyle w:val="977"/>
        <w:numPr>
          <w:ilvl w:val="0"/>
          <w:numId w:val="1"/>
        </w:numPr>
        <w:ind w:firstLine="482"/>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投标人的资格要求</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详见本项目公开招标公告。</w:t>
      </w:r>
      <w:r/>
    </w:p>
    <w:p>
      <w:pPr>
        <w:pStyle w:val="977"/>
        <w:numPr>
          <w:ilvl w:val="0"/>
          <w:numId w:val="2"/>
        </w:numPr>
        <w:ind w:firstLine="482"/>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获取招标文件</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本项目采用网上注册登记方式。</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1、潜在投标人访问电子招标投标交易平台的网络地址和方法：</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（3）“CA数字证书”的获取：</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（5）招标代理机构（采购代理机构）将数据电文形式的招标文件加载至“苏采云”系统，供潜在投标人下载或者查阅。</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2、苏采云系统使用谷歌浏览器参与不见面开标。</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3、售价：免费。  </w:t>
      </w:r>
      <w:r/>
    </w:p>
    <w:p>
      <w:pPr>
        <w:pStyle w:val="977"/>
        <w:ind w:firstLine="482"/>
        <w:spacing w:line="360" w:lineRule="auto"/>
        <w:rPr>
          <w:rFonts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t xml:space="preserve">四、投标有关信息</w:t>
      </w:r>
      <w:r/>
    </w:p>
    <w:p>
      <w:pPr>
        <w:pStyle w:val="977"/>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1.投标截止时间：</w:t>
      </w:r>
      <w:r>
        <w:rPr>
          <w:rFonts w:hint="eastAsia" w:ascii="仿宋" w:hAnsi="仿宋" w:eastAsia="仿宋" w:cs="仿宋"/>
          <w:color w:val="auto"/>
          <w:sz w:val="28"/>
          <w:szCs w:val="28"/>
          <w:highlight w:val="none"/>
          <w:lang w:eastAsia="zh-CN"/>
        </w:rPr>
        <w:t xml:space="preserve">2025年</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lang w:val="en-US" w:eastAsia="zh-CN"/>
        </w:rPr>
        <w:t xml:space="preserve">13</w:t>
      </w:r>
      <w:r>
        <w:rPr>
          <w:rFonts w:hint="eastAsia" w:ascii="仿宋" w:hAnsi="仿宋" w:eastAsia="仿宋" w:cs="仿宋"/>
          <w:color w:val="auto"/>
          <w:sz w:val="28"/>
          <w:szCs w:val="28"/>
          <w:highlight w:val="none"/>
          <w:lang w:eastAsia="zh-CN"/>
        </w:rPr>
        <w:t xml:space="preserve">日</w:t>
      </w:r>
      <w:r>
        <w:rPr>
          <w:rFonts w:hint="eastAsia" w:ascii="仿宋" w:hAnsi="仿宋" w:eastAsia="仿宋" w:cs="仿宋"/>
          <w:color w:val="auto"/>
          <w:sz w:val="28"/>
          <w:szCs w:val="28"/>
          <w:highlight w:val="none"/>
        </w:rPr>
        <w:t xml:space="preserve">北京时间</w:t>
      </w:r>
      <w:r>
        <w:rPr>
          <w:rFonts w:hint="eastAsia" w:ascii="仿宋" w:hAnsi="仿宋" w:eastAsia="仿宋" w:cs="仿宋"/>
          <w:color w:val="auto"/>
          <w:sz w:val="28"/>
          <w:szCs w:val="28"/>
          <w:highlight w:val="none"/>
          <w:lang w:eastAsia="zh-CN"/>
        </w:rPr>
        <w:t xml:space="preserve">10：00</w:t>
      </w:r>
      <w:r/>
    </w:p>
    <w:p>
      <w:pPr>
        <w:pStyle w:val="977"/>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2.开标时间：</w:t>
      </w:r>
      <w:r>
        <w:rPr>
          <w:rFonts w:hint="eastAsia" w:ascii="仿宋" w:hAnsi="仿宋" w:eastAsia="仿宋" w:cs="仿宋"/>
          <w:color w:val="auto"/>
          <w:sz w:val="28"/>
          <w:szCs w:val="28"/>
          <w:highlight w:val="none"/>
          <w:lang w:eastAsia="zh-CN"/>
        </w:rPr>
        <w:t xml:space="preserve">2025年</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lang w:val="en-US" w:eastAsia="zh-CN"/>
        </w:rPr>
        <w:t xml:space="preserve">13</w:t>
      </w:r>
      <w:r>
        <w:rPr>
          <w:rFonts w:hint="eastAsia" w:ascii="仿宋" w:hAnsi="仿宋" w:eastAsia="仿宋" w:cs="仿宋"/>
          <w:color w:val="auto"/>
          <w:sz w:val="28"/>
          <w:szCs w:val="28"/>
          <w:highlight w:val="none"/>
          <w:lang w:eastAsia="zh-CN"/>
        </w:rPr>
        <w:t xml:space="preserve">日</w:t>
      </w:r>
      <w:r>
        <w:rPr>
          <w:rFonts w:hint="eastAsia" w:ascii="仿宋" w:hAnsi="仿宋" w:eastAsia="仿宋" w:cs="仿宋"/>
          <w:color w:val="auto"/>
          <w:sz w:val="28"/>
          <w:szCs w:val="28"/>
          <w:highlight w:val="none"/>
        </w:rPr>
        <w:t xml:space="preserve">北京时间</w:t>
      </w:r>
      <w:r>
        <w:rPr>
          <w:rFonts w:hint="eastAsia" w:ascii="仿宋" w:hAnsi="仿宋" w:eastAsia="仿宋" w:cs="仿宋"/>
          <w:color w:val="auto"/>
          <w:sz w:val="28"/>
          <w:szCs w:val="28"/>
          <w:highlight w:val="none"/>
          <w:lang w:eastAsia="zh-CN"/>
        </w:rPr>
        <w:t xml:space="preserve">10：00</w:t>
      </w:r>
      <w:r/>
    </w:p>
    <w:p>
      <w:pPr>
        <w:pStyle w:val="977"/>
        <w:ind w:firstLine="480"/>
        <w:jc w:val="left"/>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3.开标地点（线上开标地点）：“苏采云”系统（网址： http://jszfcg.jsczt.cn/）“开标大厅”或进入徐州政府采购网（网址：http://czj.xz.gov.cn/Home/HomeIndex）-业务工作 -采购人登录，点击“苏采云”进入系统“开标大厅”。 </w:t>
      </w:r>
      <w:r/>
    </w:p>
    <w:p>
      <w:pPr>
        <w:pStyle w:val="977"/>
        <w:ind w:firstLine="482"/>
        <w:spacing w:line="360" w:lineRule="auto"/>
        <w:rPr>
          <w:rFonts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t xml:space="preserve">五、采购人</w:t>
      </w:r>
      <w:r/>
    </w:p>
    <w:p>
      <w:pPr>
        <w:pStyle w:val="977"/>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1．名称：</w:t>
      </w:r>
      <w:r>
        <w:rPr>
          <w:rFonts w:hint="eastAsia" w:ascii="仿宋" w:hAnsi="仿宋" w:eastAsia="仿宋" w:cs="仿宋"/>
          <w:color w:val="auto"/>
          <w:sz w:val="28"/>
          <w:szCs w:val="28"/>
          <w:highlight w:val="none"/>
          <w:lang w:eastAsia="zh-CN"/>
        </w:rPr>
        <w:t xml:space="preserve">徐州市铜山区民政局（机关）</w:t>
      </w:r>
      <w:r/>
    </w:p>
    <w:p>
      <w:pPr>
        <w:pStyle w:val="977"/>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2．地址：</w:t>
      </w:r>
      <w:r>
        <w:rPr>
          <w:rFonts w:hint="eastAsia" w:ascii="仿宋" w:hAnsi="仿宋" w:eastAsia="仿宋" w:cs="仿宋"/>
          <w:color w:val="auto"/>
          <w:sz w:val="28"/>
          <w:szCs w:val="28"/>
          <w:highlight w:val="none"/>
          <w:lang w:eastAsia="zh-CN"/>
        </w:rPr>
        <w:t xml:space="preserve">徐州市铜山区珠江西路47号</w:t>
      </w:r>
      <w:r/>
    </w:p>
    <w:p>
      <w:pPr>
        <w:pStyle w:val="977"/>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3.采购项目联系人：</w:t>
      </w:r>
      <w:r>
        <w:rPr>
          <w:rFonts w:hint="eastAsia" w:ascii="仿宋" w:hAnsi="仿宋" w:eastAsia="仿宋" w:cs="仿宋"/>
          <w:color w:val="auto"/>
          <w:sz w:val="28"/>
          <w:szCs w:val="28"/>
          <w:highlight w:val="none"/>
          <w:lang w:eastAsia="zh-CN"/>
        </w:rPr>
        <w:t xml:space="preserve">朱海</w:t>
      </w:r>
      <w:r/>
    </w:p>
    <w:p>
      <w:pPr>
        <w:pStyle w:val="977"/>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4.联系方式：</w:t>
      </w:r>
      <w:r>
        <w:rPr>
          <w:rFonts w:hint="eastAsia" w:ascii="仿宋" w:hAnsi="仿宋" w:eastAsia="仿宋" w:cs="仿宋"/>
          <w:color w:val="auto"/>
          <w:sz w:val="28"/>
          <w:szCs w:val="28"/>
          <w:highlight w:val="none"/>
          <w:lang w:eastAsia="zh-CN"/>
        </w:rPr>
        <w:t xml:space="preserve">0516-83423558</w:t>
      </w:r>
      <w:r/>
    </w:p>
    <w:p>
      <w:pPr>
        <w:pStyle w:val="977"/>
        <w:ind w:firstLine="482"/>
        <w:spacing w:line="360" w:lineRule="auto"/>
        <w:rPr>
          <w:rFonts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t xml:space="preserve">六、采购代理机构</w:t>
      </w:r>
      <w:r/>
    </w:p>
    <w:p>
      <w:pPr>
        <w:pStyle w:val="977"/>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1．名称：</w:t>
      </w:r>
      <w:r>
        <w:rPr>
          <w:rFonts w:hint="eastAsia" w:ascii="仿宋" w:hAnsi="仿宋" w:eastAsia="仿宋" w:cs="仿宋"/>
          <w:color w:val="auto"/>
          <w:sz w:val="28"/>
          <w:szCs w:val="28"/>
          <w:highlight w:val="none"/>
          <w:lang w:eastAsia="zh-CN"/>
        </w:rPr>
        <w:t xml:space="preserve">中慧力祥项目管理有限公司</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2．地址：</w:t>
      </w:r>
      <w:r>
        <w:rPr>
          <w:rFonts w:hint="eastAsia" w:ascii="仿宋" w:hAnsi="仿宋" w:eastAsia="仿宋" w:cs="仿宋"/>
          <w:color w:val="auto"/>
          <w:sz w:val="28"/>
          <w:szCs w:val="28"/>
          <w:highlight w:val="none"/>
          <w:lang w:eastAsia="zh-CN"/>
        </w:rPr>
        <w:t xml:space="preserve">徐州市新城区永嘉新城A座1203室</w:t>
      </w:r>
      <w:r/>
    </w:p>
    <w:p>
      <w:pPr>
        <w:pStyle w:val="977"/>
        <w:ind w:firstLine="480"/>
        <w:jc w:val="both"/>
        <w:spacing w:line="360" w:lineRule="auto"/>
        <w:rPr>
          <w:rFonts w:hint="eastAsia" w:ascii="仿宋" w:hAnsi="仿宋" w:eastAsia="仿宋" w:cs="仿宋"/>
          <w:color w:val="auto"/>
          <w:sz w:val="28"/>
          <w:szCs w:val="28"/>
          <w:highlight w:val="none"/>
          <w:lang w:val="en-US" w:eastAsia="zh-CN" w:bidi="en-US"/>
        </w:rPr>
        <w:outlineLvl w:val="0"/>
      </w:pPr>
      <w:r>
        <w:rPr>
          <w:rFonts w:hint="eastAsia" w:ascii="仿宋" w:hAnsi="仿宋" w:eastAsia="仿宋" w:cs="仿宋"/>
          <w:color w:val="auto"/>
          <w:sz w:val="28"/>
          <w:szCs w:val="28"/>
          <w:highlight w:val="none"/>
        </w:rPr>
        <w:t xml:space="preserve">3．联系</w:t>
      </w:r>
      <w:r>
        <w:rPr>
          <w:rFonts w:hint="eastAsia" w:ascii="仿宋" w:hAnsi="仿宋" w:eastAsia="仿宋" w:cs="仿宋"/>
          <w:color w:val="auto"/>
          <w:sz w:val="28"/>
          <w:szCs w:val="28"/>
          <w:highlight w:val="none"/>
          <w:lang w:eastAsia="zh-CN"/>
        </w:rPr>
        <w:t xml:space="preserve">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bidi="en-US"/>
        </w:rPr>
        <w:t xml:space="preserve">邓佳怡</w:t>
      </w:r>
      <w:r>
        <w:rPr>
          <w:rFonts w:hint="eastAsia" w:ascii="仿宋" w:hAnsi="仿宋" w:eastAsia="仿宋" w:cs="仿宋"/>
          <w:color w:val="auto"/>
          <w:sz w:val="28"/>
          <w:szCs w:val="28"/>
          <w:highlight w:val="none"/>
          <w:lang w:val="en-US" w:eastAsia="zh-CN" w:bidi="en-US"/>
        </w:rPr>
        <w:t xml:space="preserve">  </w:t>
      </w:r>
      <w:r/>
    </w:p>
    <w:p>
      <w:pPr>
        <w:pStyle w:val="977"/>
        <w:ind w:firstLine="480"/>
        <w:jc w:val="both"/>
        <w:spacing w:line="360" w:lineRule="auto"/>
        <w:rPr>
          <w:rFonts w:hint="default" w:ascii="仿宋" w:hAnsi="仿宋" w:eastAsia="仿宋" w:cs="仿宋"/>
          <w:color w:val="auto"/>
          <w:sz w:val="28"/>
          <w:szCs w:val="28"/>
          <w:highlight w:val="none"/>
          <w:lang w:val="en-US" w:eastAsia="zh-CN"/>
        </w:rPr>
        <w:outlineLvl w:val="0"/>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bidi="en-US"/>
        </w:rPr>
        <w:t xml:space="preserve">19941619353</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ind w:firstLine="600"/>
        <w:jc w:val="center"/>
        <w:pageBreakBefore/>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第二章  投标人须知</w:t>
      </w:r>
      <w:r/>
    </w:p>
    <w:p>
      <w:pPr>
        <w:jc w:val="cente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600"/>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目录</w:t>
      </w:r>
      <w:r/>
    </w:p>
    <w:p>
      <w:pPr>
        <w:pStyle w:val="977"/>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一、总则</w:t>
      </w:r>
      <w:r/>
    </w:p>
    <w:p>
      <w:pPr>
        <w:pStyle w:val="977"/>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二、招标</w:t>
      </w:r>
      <w:r/>
    </w:p>
    <w:p>
      <w:pPr>
        <w:pStyle w:val="977"/>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三、投标</w:t>
      </w:r>
      <w:r/>
    </w:p>
    <w:p>
      <w:pPr>
        <w:pStyle w:val="977"/>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四、开标</w:t>
      </w:r>
      <w:r/>
    </w:p>
    <w:p>
      <w:pPr>
        <w:pStyle w:val="977"/>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五、评标</w:t>
      </w:r>
      <w:r/>
    </w:p>
    <w:p>
      <w:pPr>
        <w:pStyle w:val="977"/>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六、定标</w:t>
      </w:r>
      <w:r/>
    </w:p>
    <w:p>
      <w:pPr>
        <w:pStyle w:val="977"/>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七、政府采购合同</w:t>
      </w:r>
      <w:r/>
    </w:p>
    <w:p>
      <w:pPr>
        <w:pStyle w:val="977"/>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八、询问和质疑</w:t>
      </w:r>
      <w:r/>
    </w:p>
    <w:p>
      <w:pPr>
        <w:pStyle w:val="977"/>
        <w:ind w:firstLine="60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九、电子招标投标交易平台</w:t>
      </w:r>
      <w:r/>
    </w:p>
    <w:p>
      <w:pPr>
        <w:pStyle w:val="781"/>
        <w:rPr>
          <w:rFonts w:ascii="仿宋" w:hAnsi="仿宋" w:cs="仿宋"/>
          <w:color w:val="auto"/>
          <w:highlight w:val="none"/>
        </w:rPr>
      </w:pPr>
      <w:r>
        <w:rPr>
          <w:rFonts w:ascii="仿宋" w:hAnsi="仿宋" w:cs="仿宋"/>
          <w:color w:val="auto"/>
          <w:highlight w:val="none"/>
        </w:rPr>
      </w:r>
      <w:r/>
    </w:p>
    <w:p>
      <w:pPr>
        <w:ind w:firstLine="420"/>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977"/>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一、总  则</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采购人</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1.1采购人是指依法进行政府采购的国家机关、事业单位、团体组织。本项目采购人：见招标文件第三章《投标资料表》。</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政府采购方式</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2.1政府采购货物或者服务（以下简称“货物服务”）招标分为公开招标和邀请招标。本次采购采用的政府采购方式：见招标文件第三章《投标资料表》。</w:t>
      </w:r>
      <w:r/>
    </w:p>
    <w:p>
      <w:pPr>
        <w:pStyle w:val="977"/>
        <w:ind w:firstLine="482"/>
        <w:jc w:val="left"/>
        <w:spacing w:line="36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 采购人应当在货物服务招标投标活动中落实节约能源、保护环境、扶持不发达地区和少数民族地区、促进中小企业发展等政府采购政策。</w:t>
      </w:r>
      <w:r/>
    </w:p>
    <w:p>
      <w:pPr>
        <w:pStyle w:val="977"/>
        <w:ind w:firstLine="482"/>
        <w:jc w:val="left"/>
        <w:spacing w:line="36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 采购人应当按照财政部制定的《政府采购品目分类目录》确定采购项目属性。按照《政府采购品目分类目录》无法确定的，按照有利于采购项目实施的原则确定。</w:t>
      </w:r>
      <w:r/>
    </w:p>
    <w:p>
      <w:pPr>
        <w:pStyle w:val="977"/>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采购人确定的采购项目属性：见招标文件第三章《投标资料表》。</w:t>
      </w:r>
      <w:r/>
    </w:p>
    <w:p>
      <w:pPr>
        <w:pStyle w:val="977"/>
        <w:ind w:firstLine="48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5.采购人委托采购代理机构代理招标的，采购代理机构应当在采购人委托的范围内依法开展采购活动。本项目委托代理机构：见招标文件第三章《投标资料表》。</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 投标人的资格条件</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6.1参加政府采购货物服务投标活动的供应商（以下简称“投标人”），应当是提供本国货物服务的本国供应商，但法律、行政法规规定外国供应商可以参加货物服务招标投标活动的除外。</w:t>
      </w:r>
      <w:r/>
    </w:p>
    <w:p>
      <w:pPr>
        <w:pStyle w:val="977"/>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投标人，是指响应招标、参加投标竞争的法人、其他组织或者自然人。</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6.2 投标人授权代表系指法定代表人或受法人委托的受托人。</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 投标费用</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 投标人应承担所有与准备和参加投标有关的费用。无论投标的结果如何，采购代理机构对上述费用不承担任何责任和义务。</w:t>
      </w:r>
      <w:r/>
    </w:p>
    <w:p>
      <w:pPr>
        <w:pStyle w:val="977"/>
        <w:ind w:firstLine="562"/>
        <w:jc w:val="center"/>
        <w:spacing w:line="360" w:lineRule="auto"/>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r>
      <w:r/>
    </w:p>
    <w:p>
      <w:pPr>
        <w:pStyle w:val="977"/>
        <w:ind w:firstLine="562"/>
        <w:jc w:val="center"/>
        <w:spacing w:line="360" w:lineRule="auto"/>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t xml:space="preserve">二、招  标</w:t>
      </w:r>
      <w:r/>
    </w:p>
    <w:p>
      <w:pPr>
        <w:pStyle w:val="977"/>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 招标文件的内容</w:t>
      </w:r>
      <w:r/>
    </w:p>
    <w:p>
      <w:pPr>
        <w:pStyle w:val="977"/>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8.1招标文件包括以下内容：</w:t>
      </w:r>
      <w:r/>
    </w:p>
    <w:p>
      <w:pPr>
        <w:pStyle w:val="977"/>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 投标邀请</w:t>
      </w:r>
      <w:r/>
    </w:p>
    <w:p>
      <w:pPr>
        <w:pStyle w:val="977"/>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投标人须知</w:t>
      </w:r>
      <w:r/>
    </w:p>
    <w:p>
      <w:pPr>
        <w:pStyle w:val="977"/>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第三章 投标资料表</w:t>
      </w:r>
      <w:r/>
    </w:p>
    <w:p>
      <w:pPr>
        <w:pStyle w:val="977"/>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第四章 评标标准</w:t>
      </w:r>
      <w:r/>
    </w:p>
    <w:p>
      <w:pPr>
        <w:pStyle w:val="977"/>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 拟签订的合同文本</w:t>
      </w:r>
      <w:r/>
    </w:p>
    <w:p>
      <w:pPr>
        <w:pStyle w:val="977"/>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第六章 采购需求</w:t>
      </w:r>
      <w:r/>
    </w:p>
    <w:p>
      <w:pPr>
        <w:pStyle w:val="977"/>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第七章 投标文件相关格式</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 招标文件澄清或者修改</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9.2现场考察以招标文件第三章《投标资料表》中的要求为准。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9.3开标前答疑会以招标文件第三章《投标资料表》中的要求为准。</w:t>
      </w:r>
      <w:r/>
    </w:p>
    <w:p>
      <w:pPr>
        <w:pStyle w:val="977"/>
        <w:ind w:firstLine="562"/>
        <w:jc w:val="center"/>
        <w:spacing w:line="360" w:lineRule="auto"/>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r>
      <w:r/>
    </w:p>
    <w:p>
      <w:pPr>
        <w:pStyle w:val="977"/>
        <w:ind w:firstLine="562"/>
        <w:jc w:val="center"/>
        <w:spacing w:line="360" w:lineRule="auto"/>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t xml:space="preserve">三、投标</w:t>
      </w:r>
      <w:r/>
    </w:p>
    <w:p>
      <w:pPr>
        <w:pStyle w:val="977"/>
        <w:ind w:firstLine="48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10.投标人应当按照招标文件的要求编制投标文件。投标文件应对招标文件提出的要求和条件作出实质性响应。</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11.投标文件的语言。投标文件以及投标人与采购代理机构就有关投标的往来函电均应使用本文件第三章《投标资料表》规定的语言书写，否则无效。</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12.投标文件的构成：</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12.1投标文件的构成以本文件第三章《投标资料表》中的要求为准。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12.2投标人应当提交的资格、资信证明文件，以本文件第三章《投标资料表》中的所提要求为准。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13投标函和价格表、商务条件、交货和提供服务的时间：</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13.1投标函和价格表的要求见本章（十二）、（十三），格式见本文件第七章《投标文件相关格式》中《投标函》和《开标一览表》。</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13.2商务条件以本文件第三章《投标资料表》中的要求为准。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13.3交货和提供服务的时间，以本文件第三章《投标资料表》中所提要求为准。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14投标报价要求：</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14.1投标人应按照招标文件的要求报出分项价格和总价。</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14.2投标人应按照招标文件的要求进行报价，如投标人作出偏离，应在《偏离表》中列出。</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14.3采购人不支付报价以外的任何费用。</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14.4投标人所报的价格，在合同执行过程中是固定的，不得以任何理由予以变更。投标人提交滑动价格的投标文件，在资格性、符合性检查时按照无效投标处理。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14.5投标人只能提交一个投标价格，投标人提交多个价格的投标文件，在资格性、符合性检查时按照无效投标处理。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15.投标货币。以本文件第三章《投标资料表》中所提要求为准。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16.投标有效期：</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16.1投标有效期为开标之日后90天。采购人可以要求对投标有效期延长一次，但该延长期最长不得超过30天。</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16.2采购人要求延长投标有效期的，必须要在距投标有效期满20日之前，以书面形式通知投标人，如果有关投标人同意延长投标有效期的要求，其应在原投标有效期期满前以书面形式向采购人确认。</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16.3如果采购人发出要求延长投标有效期的通知，并在投标有效期届满前，没有收到投标人同意的书面通知，则视为该投标人不接受上述延期的要求。</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17投标文件的编制要求和签署要求</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17.1投标人应由其法定代表人或法定代表人授权代表在规定的网上投标时间，凭 CA 证书登陆“苏采云”系统在线编制投标文件（电子数据），并在投标截止时间之前上传投标文件。</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17.2投标人应对 CA 证书妥善保管，如被他人盗用投标，因此带来的结果均由投标人自行承担。</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17.3投标人应当对招标文件提出的要求和条件作出实质性响应，并在电子投标系统逐条应答。</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17.4投标人应对要求提供的资格证明文件（如资质证书、资格证书）、技术资料（如白皮书、彩页、手册、检测报告等）扫描上传至投标系统。</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18.投标文件的盖章要求：</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投标文件的盖章要求，以本文件第三章《投标资料表》中所提要求为准。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19.提交投标文件的截止时间和收到投标文件后注意事项。投标人应在招标文件要求的提交投标文件的截止时间前，将投标文件提交至“苏采云”系统。</w:t>
      </w:r>
      <w:r/>
    </w:p>
    <w:p>
      <w:pPr>
        <w:pStyle w:val="977"/>
        <w:ind w:firstLine="480"/>
        <w:spacing w:line="360" w:lineRule="auto"/>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20.</w:t>
      </w:r>
      <w:r>
        <w:rPr>
          <w:rFonts w:hint="eastAsia" w:ascii="仿宋" w:hAnsi="仿宋" w:eastAsia="仿宋" w:cs="仿宋"/>
          <w:b/>
          <w:bCs/>
          <w:color w:val="auto"/>
          <w:sz w:val="28"/>
          <w:szCs w:val="28"/>
          <w:highlight w:val="none"/>
        </w:rPr>
        <w:t xml:space="preserve">凡在招标文件要求提交投标文件的截止时间之后送达的投标文件，均为无效投标文件，“苏采云”系统将自动拒收。 各投标人应在规定时间内通过 CA 证书进行网上解密。</w:t>
      </w:r>
      <w:r/>
    </w:p>
    <w:p>
      <w:pPr>
        <w:pStyle w:val="977"/>
        <w:ind w:firstLine="480"/>
        <w:spacing w:line="360" w:lineRule="auto"/>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21.</w:t>
      </w:r>
      <w:r>
        <w:rPr>
          <w:rFonts w:hint="eastAsia" w:ascii="仿宋" w:hAnsi="仿宋" w:eastAsia="仿宋" w:cs="仿宋"/>
          <w:b/>
          <w:bCs/>
          <w:color w:val="auto"/>
          <w:sz w:val="28"/>
          <w:szCs w:val="28"/>
          <w:highlight w:val="none"/>
        </w:rPr>
        <w:t xml:space="preserve">投标人在投标截止时间前，可以对所递交的投标文件进行补充、修改或者撤回。其所进行补充、修改的内容，应当按照招标文件要求进行签署、盖章，然后纳为投标文件的组成部分。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22.投标人应当遵循公平竞争的原则，不得恶意串通，不得妨碍其他投标人的竞争行为，不得损害采购人或者其他投标人的合法权益。</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在评标过程中发现投标人有上述情形的，评标委员会应当认定其投标无效，并书面报告本级财政部门。</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w:t>
      </w:r>
      <w:r>
        <w:rPr>
          <w:rFonts w:hint="eastAsia" w:ascii="仿宋" w:hAnsi="仿宋" w:eastAsia="仿宋" w:cs="仿宋"/>
          <w:b/>
          <w:bCs/>
          <w:color w:val="auto"/>
          <w:sz w:val="28"/>
          <w:szCs w:val="28"/>
          <w:highlight w:val="none"/>
        </w:rPr>
        <w:t xml:space="preserve">有下列情形之一的，其投标无效</w:t>
      </w:r>
      <w:r>
        <w:rPr>
          <w:rFonts w:hint="eastAsia" w:ascii="仿宋" w:hAnsi="仿宋" w:eastAsia="仿宋" w:cs="仿宋"/>
          <w:color w:val="auto"/>
          <w:sz w:val="28"/>
          <w:szCs w:val="28"/>
          <w:highlight w:val="none"/>
        </w:rPr>
        <w:t xml:space="preserve">。</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1.不同投标人的投标文件，由同一单位或者个人编制；</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2.不同投标人委托同一单位或者个人办理投标事宜；</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3.不同投标人的投标文件中，所载明的项目管理成员或联系人为同一人；</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4.不同投标人的投标文件，异常一致或者投标报价呈规律性差异；</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6.电子投标文件未按规定期限投标的；</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7.电子投标文件未按招标文件要求签章的；</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8.投标人未在规定时间内解密电子投标文件的；</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9.投标文件未按招标文件规定的内容和要求填写的；没有在投标系统指定位置上传对应文件、材料的；</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10.不具备招标文件中规定的资格要求的；</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11.报价超过招标文件中规定的预算金额或者最高限价的；</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12.投标文件含有采购人不能接受的附加条件的；</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13.法律、法规和招标文件规定的其他无效情形。</w:t>
      </w:r>
      <w:r/>
    </w:p>
    <w:p>
      <w:pPr>
        <w:pStyle w:val="977"/>
        <w:ind w:left="420"/>
        <w:jc w:val="center"/>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r>
      <w:r/>
    </w:p>
    <w:p>
      <w:pPr>
        <w:pStyle w:val="977"/>
        <w:ind w:left="420"/>
        <w:jc w:val="center"/>
        <w:spacing w:line="360" w:lineRule="auto"/>
        <w:rPr>
          <w:rFonts w:hint="eastAsia" w:ascii="仿宋" w:hAnsi="仿宋" w:eastAsia="仿宋" w:cs="仿宋"/>
          <w:color w:val="auto"/>
          <w:sz w:val="28"/>
          <w:szCs w:val="28"/>
          <w:highlight w:val="none"/>
        </w:rPr>
        <w:outlineLvl w:val="0"/>
      </w:pPr>
      <w:r>
        <w:rPr>
          <w:rFonts w:hint="eastAsia" w:ascii="仿宋" w:hAnsi="仿宋" w:eastAsia="仿宋" w:cs="仿宋"/>
          <w:b/>
          <w:bCs/>
          <w:color w:val="auto"/>
          <w:sz w:val="28"/>
          <w:szCs w:val="28"/>
          <w:highlight w:val="none"/>
        </w:rPr>
        <w:t xml:space="preserve">四、开标</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24.开标：</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24.1开标时间及地点。开标应当在招标文件确定的提交投标文件截止时间的同一时间公开进行；开标地点应当为招标文件中预先确定的地点。</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24.2由电子招标投标交易平台主持，邀请投标人参加。</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24.3所有投标单位使用 CA 证书在开标时间时，解密各自投标文件，由工作人员操作系统进行开标，投标人不足3家的，不得评标。</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24.4投标人原因造成投标文件未解密的，视为撤销其投标文件;因投标人之外的原因造成投标文件未解密的，视为撤回其投标文件。部分投标文件未解密的，其他投标文件的开标可以继续进行。</w:t>
      </w:r>
      <w:r/>
    </w:p>
    <w:p>
      <w:pPr>
        <w:pStyle w:val="977"/>
        <w:jc w:val="center"/>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r>
      <w:r/>
    </w:p>
    <w:p>
      <w:pPr>
        <w:pStyle w:val="977"/>
        <w:jc w:val="center"/>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t xml:space="preserve">五、评标</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25.</w:t>
      </w:r>
      <w:r>
        <w:rPr>
          <w:rFonts w:ascii="仿宋" w:hAnsi="仿宋" w:eastAsia="仿宋" w:cs="仿宋"/>
          <w:b/>
          <w:color w:val="000000"/>
          <w:sz w:val="28"/>
        </w:rPr>
        <w:t xml:space="preserve">公开招标采购项目开标结束后，采购人依法对投标人的资格进行审查。合格投标人不足3家的，不得评标。</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25.1评标工作由采购代理机构负责组织，并履行下列职责：</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（1）核对评审专家身份和采购人代表授权函，对评审专家在政府采购活动中的职责履行情况予以记录，并及时将有关违法违规行为向财政部门报告；</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（2）宣布评标纪律；</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（3）公布投标人名单，告知评审专家应当回避的情形；</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（4）组织评标委员会推选评标组长（采购人代表不得担任组长）；</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（5）在评标期间采取必要的通讯管理措施，保证评标活动不受外界干扰；</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（6）根据评标委员会的要求介绍政府采购相关政策法规、招标文件；</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（7）维护评标秩序，监督评标委员会依照招标文件规定的评标程序、方法和标准进行独立评审。及时制止和纠正采购人代表、评审专家的倾向性言论或者违法违规行为；</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（8）核对评标结果，对有《政府采购货物和服务招标投标管理办法》第六十四条规定情形的，应要求评标委员会复核或者书面说明理由，评标委员会拒绝的，应予记录并向本级财政部门报告；</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（9）评审工作完成后，按照规定向评审专家支付劳务报酬和异地评审差旅费，不得向评审专家以外的其他人员支付评审劳务报酬；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（10）处理与评标有关的其他事项。</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25.2评标委员会负责具体评标事务，并独立履行下列职责：</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（1）审查、评价投标文件是否符合招标文件的商务、技术等实质性要求；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（2）要求投标人对投标文件有关事项作出澄清或者说明；</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（3）对投标文件进行比较和评价；</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（4）确定中标候选人名单，以及根据采购人委托直接确定中标人；</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（5）向采购人、采购代理机构或有关部门报告评标中发现的违法行为</w:t>
      </w:r>
      <w:r>
        <w:rPr>
          <w:rFonts w:hint="eastAsia" w:ascii="仿宋" w:hAnsi="仿宋" w:eastAsia="仿宋" w:cs="仿宋"/>
          <w:color w:val="auto"/>
          <w:sz w:val="28"/>
          <w:szCs w:val="28"/>
          <w:highlight w:val="none"/>
        </w:rPr>
        <w:t xml:space="preserve">。</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26.评标方法分为最低评标价法和综合评分法。</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27评标</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27.1评标工作程序：</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（1）投标文件初审。</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①资格性审查。</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②符合性审查。</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（2）澄清有关问题。</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（3）比较与评价。</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（4）推荐中标候选供应商名单。</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（5）编写评审报告（评标报告）。</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27.2在评标中，不得改变招标文件中规定的评标标准、方法和中标条件。评标委员会对投标文件响应性的判定，要基于投标文件本身的内容，而不得寻求外部的证据。</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27.3采用</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"http://lilun.caigou2003.com/recijiedu/2365668.html" \t "_blank"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最低评标价法</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采用</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"http://lilun.caigou2003.com/recijiedu/2365667.html" \t "_blank"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综合评分法</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非单一产品采购项目，多家投标人提供的核心产品品牌相同的，按前两款规定处理。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w:t>
      </w:r>
      <w:r>
        <w:rPr>
          <w:rFonts w:hint="eastAsia" w:ascii="仿宋" w:hAnsi="仿宋" w:eastAsia="仿宋" w:cs="仿宋"/>
          <w:b/>
          <w:bCs/>
          <w:color w:val="auto"/>
          <w:sz w:val="28"/>
          <w:szCs w:val="28"/>
          <w:highlight w:val="none"/>
        </w:rPr>
        <w:t xml:space="preserve">投标文件报价出现前后不一致的，按照下列规定修正：</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28.1投标文件中开标一览表（报价表）内容与投标文件中相应内容不一致的，以开标一览表（报价表）为准；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28.2大写金额和小写金额不一致的，以大写金额为准；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28.3单价金额小数点或者百分比有明显错位的，以开标一览表的总价为准，并修改单价；</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28.4总价金额与按单价合计金额不一致的，以单价金额计算结果为准。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977"/>
        <w:ind w:firstLine="48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评标中需要投标人对投标文件澄清或者说明的，应当通过“苏采云”系统交换数据电文。在评标期间，请投标人保持在线。</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29.</w:t>
      </w:r>
      <w:r>
        <w:rPr>
          <w:rFonts w:ascii="仿宋" w:hAnsi="仿宋" w:eastAsia="仿宋" w:cs="仿宋"/>
          <w:color w:val="000000"/>
          <w:sz w:val="28"/>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根据铜财购[2025]12号文件，(一)评审过程中出现下列情形之一的，评审委员会应当启动异常低价投标(响应)审查程序:</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1.投标(响应)报价低于采购项目预算50%的，即投标(响应)报价&lt;采购项目预算×50%；</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2.投标(响应)报价低于采购项目最高限价45%的，即投标(响应)报价&lt;采购项目最高限价×45%；</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3.评审委员会认定的供应商报价过低、有可能影响产品质量或者不能诚信履约的其他情形。</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rPr>
          <w:rFonts w:hint="eastAsia" w:ascii="仿宋" w:hAnsi="仿宋" w:eastAsia="仿宋" w:cs="仿宋"/>
          <w:color w:val="auto"/>
          <w:sz w:val="28"/>
          <w:szCs w:val="28"/>
          <w:highlight w:val="none"/>
        </w:rPr>
        <w:t xml:space="preserve">。</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30.评标委员会成员对需要共同认定的事项存在争议的，应当按照少数服从多数的原则作出结论。持不同意见的评标委员会成员应当在评标报告上签署不同意见及理由，否则视为同意评标报告。</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31.废标条款：</w:t>
      </w:r>
      <w:r/>
    </w:p>
    <w:p>
      <w:pPr>
        <w:pStyle w:val="977"/>
        <w:ind w:firstLine="48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出现下列情形之一的，应予废标。</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1.符合专业条件的供应商或者对招标文件作实质响应的供应商不足三家的；</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2.出现影响采购公正的违法、违规行为的；</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3.投标人的报价均超过了采购预算，采购人不能支付的；</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4.因重大变故，采购任务取消的。</w:t>
      </w:r>
      <w:r/>
    </w:p>
    <w:p>
      <w:pPr>
        <w:pStyle w:val="977"/>
        <w:ind w:firstLine="562"/>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977"/>
        <w:ind w:firstLine="562"/>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六、定标</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32.采购代理机构应当在评标结束后2个工作日内将评标报告送采购人。</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33.采购人应当自收到评标报告之日起5个工作日内，在评标报告确定的中标候选人名单中按顺序确定中标人。</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34.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77"/>
        <w:ind w:firstLine="562"/>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977"/>
        <w:ind w:firstLine="562"/>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七、政府采购合同</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35.签订政府采购合同（合同签订方式）：</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35.1采购人应当自中标通知书发出之日起</w:t>
      </w:r>
      <w:r>
        <w:rPr>
          <w:rFonts w:hint="eastAsia" w:ascii="仿宋" w:hAnsi="仿宋" w:eastAsia="仿宋" w:cs="仿宋"/>
          <w:color w:val="auto"/>
          <w:sz w:val="28"/>
          <w:szCs w:val="28"/>
          <w:highlight w:val="none"/>
          <w:lang w:eastAsia="zh-CN"/>
        </w:rPr>
        <w:t xml:space="preserve">  日</w:t>
      </w:r>
      <w:r>
        <w:rPr>
          <w:rFonts w:hint="eastAsia" w:ascii="仿宋" w:hAnsi="仿宋" w:eastAsia="仿宋" w:cs="仿宋"/>
          <w:color w:val="auto"/>
          <w:sz w:val="28"/>
          <w:szCs w:val="28"/>
          <w:highlight w:val="none"/>
        </w:rPr>
        <w:t xml:space="preserve">内，按照招标文件和中标人投标文件的规定，与中标人签订书面合同。所签订的合同不得对招标文件确定的事项和中标人投标文件作实质性修改。</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采购人不得向中标人提出任何不合理的要求作为签订合同的条件。</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35.2中标或者成交供应商拒绝与采购人签订合同的，采购人可以按照评审报告推荐的中标或者成交候选人名单排序，确定下一个候选人为中标或者成交供应商，也可以重新开展政府采购活动。</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36.采购人与中标人应当根据合同的约定依法履行合同义务。政府采购合同的履行、违约责任和解决争议的方法等，按《中华人民共和国合同法》相关条款执行。</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37.履约保证金：</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37.1 中标人应在政府采购合同签订后，向采购人提交本文件第三章《投标资料表》中规定金额的履约保证金。</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37.2如果中标人没有遵守本章（三十八）1 或本章（三十九） 的规定，采购代理机构有权取消该中标决定。在此情况下，采购人可以与排位在中标人之后第一位的中标候选人签订政府采购合同，以此类推。</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37.3中标人凭采购人出具验收书的复印件及收款收据办理履约保证金退付手续。履约保证金在采购人处存放期间，不计利息。</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38腐败和欺诈行为：</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38.1采购代理机构、采购人、投标人等参与招投标的各方，均应在招标、采购、合同执行等过程中保持廉洁和最高的道德水准。</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（1）腐败和欺诈行为的含义：</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②“欺诈行为”系指为了影响招标、采购和合同执行等过程，隐瞒事实真相，给买方、卖方、采购代理机构及他人造成损害的行为，其中包括投标人之间的串通行为。</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（2）如果被推荐的中标人有腐败和欺诈行为，将取消其中标资格。</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（3）如果投标人在任何时候，被法院及政府有关管理部门认定为有腐败和欺诈行为，采购代理机构有权拒绝其投标、取消其中标资格和撤销其已签署的合同。</w:t>
      </w:r>
      <w:r/>
    </w:p>
    <w:p>
      <w:pPr>
        <w:pStyle w:val="977"/>
        <w:numPr>
          <w:ilvl w:val="0"/>
          <w:numId w:val="0"/>
        </w:numPr>
        <w:ind w:firstLine="562"/>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lang w:val="en-US" w:eastAsia="zh-CN" w:bidi="ar-SA"/>
        </w:rPr>
        <w:t xml:space="preserve">八、</w:t>
      </w:r>
      <w:r>
        <w:rPr>
          <w:rFonts w:hint="eastAsia" w:ascii="仿宋" w:hAnsi="仿宋" w:eastAsia="仿宋" w:cs="仿宋"/>
          <w:b/>
          <w:bCs/>
          <w:color w:val="auto"/>
          <w:sz w:val="28"/>
          <w:szCs w:val="28"/>
          <w:highlight w:val="none"/>
        </w:rPr>
        <w:t xml:space="preserve">询问和质疑</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39.询问和质疑</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77"/>
        <w:numPr>
          <w:ilvl w:val="0"/>
          <w:numId w:val="0"/>
        </w:numPr>
        <w:ind w:firstLine="562"/>
        <w:jc w:val="center"/>
        <w:spacing w:line="360" w:lineRule="auto"/>
        <w:rPr>
          <w:rFonts w:hint="eastAsia"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bidi="ar-SA"/>
        </w:rPr>
      </w:r>
      <w:r/>
    </w:p>
    <w:p>
      <w:pPr>
        <w:pStyle w:val="977"/>
        <w:numPr>
          <w:ilvl w:val="0"/>
          <w:numId w:val="0"/>
        </w:numPr>
        <w:ind w:firstLine="562"/>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lang w:val="en-US" w:eastAsia="zh-CN" w:bidi="ar-SA"/>
        </w:rPr>
        <w:t xml:space="preserve">九、</w:t>
      </w:r>
      <w:r>
        <w:rPr>
          <w:rFonts w:hint="eastAsia" w:ascii="仿宋" w:hAnsi="仿宋" w:eastAsia="仿宋" w:cs="仿宋"/>
          <w:b/>
          <w:bCs/>
          <w:color w:val="auto"/>
          <w:sz w:val="28"/>
          <w:szCs w:val="28"/>
          <w:highlight w:val="none"/>
        </w:rPr>
        <w:t xml:space="preserve">电子招标投标交易平台</w:t>
      </w:r>
      <w:r/>
    </w:p>
    <w:p>
      <w:pPr>
        <w:pStyle w:val="977"/>
        <w:ind w:firstLine="482"/>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40.电子招标投标交易平台（即“苏采云”系统，网址：</w:t>
      </w: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HYPERLINK "http://jszfcg.jsczt.cn/" \o "http://jszfcg.jsczt.cn/"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z w:val="28"/>
          <w:szCs w:val="28"/>
          <w:highlight w:val="none"/>
        </w:rPr>
        <w:t xml:space="preserve">http://jszfcg.jsczt.cn/</w:t>
      </w:r>
      <w:r>
        <w:rPr>
          <w:rFonts w:hint="eastAsia" w:ascii="仿宋" w:hAnsi="仿宋" w:eastAsia="仿宋" w:cs="仿宋"/>
          <w:b w:val="0"/>
          <w:bCs w:val="0"/>
          <w:color w:val="auto"/>
          <w:sz w:val="28"/>
          <w:szCs w:val="28"/>
          <w:highlight w:val="none"/>
        </w:rPr>
        <w:fldChar w:fldCharType="end"/>
      </w:r>
      <w:r>
        <w:rPr>
          <w:rFonts w:hint="eastAsia" w:ascii="仿宋" w:hAnsi="仿宋" w:eastAsia="仿宋" w:cs="仿宋"/>
          <w:b w:val="0"/>
          <w:bCs w:val="0"/>
          <w:color w:val="auto"/>
          <w:sz w:val="28"/>
          <w:szCs w:val="28"/>
          <w:highlight w:val="none"/>
        </w:rPr>
        <w:t xml:space="preserve">）相关要求是本招标文件的组成部分。</w:t>
      </w:r>
      <w:r/>
    </w:p>
    <w:p>
      <w:pPr>
        <w:pStyle w:val="977"/>
        <w:ind w:firstLine="482"/>
        <w:spacing w:line="360" w:lineRule="auto"/>
        <w:rPr>
          <w:rFonts w:ascii="仿宋" w:hAnsi="仿宋" w:eastAsia="仿宋" w:cs="仿宋"/>
          <w:b/>
          <w:bCs/>
          <w:color w:val="auto"/>
          <w:sz w:val="28"/>
          <w:szCs w:val="28"/>
          <w:highlight w:val="none"/>
        </w:rPr>
      </w:pPr>
      <w:r>
        <w:rPr>
          <w:rFonts w:hint="eastAsia" w:ascii="仿宋" w:hAnsi="仿宋" w:eastAsia="仿宋" w:cs="仿宋"/>
          <w:b w:val="0"/>
          <w:bCs w:val="0"/>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b/>
          <w:bCs/>
          <w:color w:val="auto"/>
          <w:sz w:val="28"/>
          <w:szCs w:val="28"/>
          <w:highlight w:val="none"/>
        </w:rPr>
        <w:br w:type="page" w:clear="all"/>
      </w:r>
      <w:r/>
    </w:p>
    <w:p>
      <w:pPr>
        <w:ind w:firstLine="600"/>
        <w:jc w:val="center"/>
        <w:pageBreakBefore/>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第三章  投标资料表</w:t>
      </w:r>
      <w:r/>
    </w:p>
    <w:p>
      <w:pPr>
        <w:pStyle w:val="995"/>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该资料表的条款项号是与《投标人须知》中条款项号对应的，若有增加的条款，是对《投标人须知》的补充、修改和完善，如果有矛盾的话，应以本资料表为准。</w:t>
      </w:r>
      <w:r/>
    </w:p>
    <w:tbl>
      <w:tblPr>
        <w:tblStyle w:val="780"/>
        <w:tblW w:w="9575"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8"/>
        <w:gridCol w:w="8207"/>
      </w:tblGrid>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ind w:left="0" w:firstLine="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内容</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一、总则</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jc w:val="left"/>
              <w:spacing w:line="36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采购人：</w:t>
            </w:r>
            <w:r>
              <w:rPr>
                <w:rFonts w:hint="eastAsia" w:ascii="仿宋" w:hAnsi="仿宋" w:eastAsia="仿宋" w:cs="仿宋"/>
                <w:color w:val="auto"/>
                <w:sz w:val="32"/>
                <w:szCs w:val="32"/>
                <w:highlight w:val="none"/>
                <w:lang w:eastAsia="zh-CN"/>
              </w:rPr>
              <w:t xml:space="preserve">徐州市铜山区民政局（机关）</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(二)</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jc w:val="left"/>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本次采购采用的政府采购方式：公开招标</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(四)</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jc w:val="left"/>
              <w:spacing w:line="360" w:lineRule="auto"/>
              <w:rPr>
                <w:rFonts w:hint="eastAsia" w:ascii="仿宋" w:hAnsi="仿宋" w:eastAsia="仿宋" w:cs="仿宋"/>
                <w:b/>
                <w:color w:val="auto"/>
                <w:sz w:val="32"/>
                <w:szCs w:val="32"/>
                <w:highlight w:val="none"/>
                <w:u w:val="single"/>
              </w:rPr>
            </w:pPr>
            <w:r>
              <w:rPr>
                <w:rFonts w:hint="eastAsia" w:ascii="仿宋" w:hAnsi="仿宋" w:eastAsia="仿宋" w:cs="仿宋"/>
                <w:color w:val="auto"/>
                <w:sz w:val="32"/>
                <w:szCs w:val="32"/>
                <w:highlight w:val="none"/>
              </w:rPr>
              <w:t xml:space="preserve">采购人确定的采购项目属性：货物</w:t>
            </w:r>
            <w:r/>
          </w:p>
        </w:tc>
      </w:tr>
      <w:tr>
        <w:trPr>
          <w:trHeight w:val="7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(五)</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jc w:val="left"/>
              <w:spacing w:line="36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本项目采购代理机构：</w:t>
            </w:r>
            <w:r>
              <w:rPr>
                <w:rFonts w:hint="eastAsia" w:ascii="仿宋" w:hAnsi="仿宋" w:eastAsia="仿宋" w:cs="仿宋"/>
                <w:color w:val="auto"/>
                <w:sz w:val="32"/>
                <w:szCs w:val="32"/>
                <w:highlight w:val="none"/>
                <w:lang w:eastAsia="zh-CN"/>
              </w:rPr>
              <w:t xml:space="preserve">中慧力祥项目管理有限公司</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(六)</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投标人的资格条件：</w:t>
            </w:r>
            <w:r/>
          </w:p>
          <w:p>
            <w:pPr>
              <w:pStyle w:val="977"/>
              <w:ind w:firstLine="480"/>
              <w:jc w:val="left"/>
              <w:spacing w:line="360" w:lineRule="auto"/>
              <w:tabs>
                <w:tab w:val="left" w:pos="0" w:leader="none"/>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1、符合《中华人民共和国政府采购法》第二十二条的规定；</w:t>
            </w:r>
            <w:r/>
          </w:p>
          <w:p>
            <w:pPr>
              <w:pStyle w:val="976"/>
              <w:ind w:left="0"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w:t>
            </w:r>
            <w:r>
              <w:rPr>
                <w:rFonts w:hint="eastAsia" w:ascii="仿宋" w:hAnsi="仿宋" w:eastAsia="仿宋" w:cs="仿宋"/>
                <w:sz w:val="32"/>
                <w:szCs w:val="32"/>
              </w:rPr>
              <w:t xml:space="preserve">此项目</w:t>
            </w:r>
            <w:r>
              <w:rPr>
                <w:rFonts w:hint="eastAsia" w:ascii="仿宋" w:hAnsi="仿宋" w:eastAsia="仿宋" w:cs="仿宋"/>
                <w:sz w:val="32"/>
                <w:szCs w:val="32"/>
                <w:lang w:val="en-US" w:eastAsia="zh-CN"/>
              </w:rPr>
              <w:t xml:space="preserve">不</w:t>
            </w:r>
            <w:r>
              <w:rPr>
                <w:rFonts w:hint="eastAsia" w:ascii="仿宋" w:hAnsi="仿宋" w:eastAsia="仿宋" w:cs="仿宋"/>
                <w:sz w:val="32"/>
                <w:szCs w:val="32"/>
              </w:rPr>
              <w:t xml:space="preserve">属于专门面向中小微企业采购的项目</w:t>
            </w:r>
            <w:r>
              <w:rPr>
                <w:rFonts w:hint="eastAsia" w:ascii="仿宋" w:hAnsi="仿宋" w:eastAsia="仿宋" w:cs="仿宋"/>
                <w:color w:val="auto"/>
                <w:sz w:val="32"/>
                <w:szCs w:val="32"/>
                <w:highlight w:val="none"/>
              </w:rPr>
              <w:t xml:space="preserve">；</w:t>
            </w:r>
            <w:r/>
          </w:p>
          <w:p>
            <w:pPr>
              <w:pStyle w:val="976"/>
              <w:ind w:left="0"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3、本项目的特定资格要求：具备医疗器械经营企业许可证或医疗器械经营备案凭证或生产许可资格。</w:t>
            </w:r>
            <w:r/>
          </w:p>
          <w:p>
            <w:pPr>
              <w:pStyle w:val="977"/>
              <w:ind w:firstLine="480"/>
              <w:jc w:val="left"/>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同时明确相关事项如下：</w:t>
            </w:r>
            <w:r/>
          </w:p>
          <w:p>
            <w:pPr>
              <w:pStyle w:val="977"/>
              <w:ind w:firstLine="482"/>
              <w:jc w:val="left"/>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1、本项目不接受联合体参与采购活动。</w:t>
            </w:r>
            <w:r/>
          </w:p>
          <w:p>
            <w:pPr>
              <w:pStyle w:val="977"/>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2、单位负责人为同一人或者存在直接控股、管理关系的不同供应商，不得参加同一合同项下的政府采购活动。</w:t>
            </w:r>
            <w:r/>
          </w:p>
          <w:p>
            <w:pPr>
              <w:pStyle w:val="977"/>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3、为本采购项目提供整体设计、规范编制或者项目管理、监理、检测等服务的供应商，不得再参加本采购项目的采购活动。</w:t>
            </w:r>
            <w:r/>
          </w:p>
          <w:p>
            <w:pPr>
              <w:pStyle w:val="977"/>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4、查询及使用投标人（以联合体形式投标的，含所有联合体成员）信用记录：</w:t>
            </w:r>
            <w:r/>
          </w:p>
          <w:p>
            <w:pPr>
              <w:pStyle w:val="977"/>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（1）由采购人查询信用信息。</w:t>
            </w:r>
            <w:r/>
          </w:p>
          <w:p>
            <w:pPr>
              <w:pStyle w:val="977"/>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（2）查询渠道包括：</w:t>
            </w:r>
            <w:r/>
          </w:p>
          <w:p>
            <w:pPr>
              <w:pStyle w:val="977"/>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①“信用中国”网（</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"http://www.creditchina.gov.cn/"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www.creditchina.gov.cn</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 xml:space="preserve">）；</w:t>
            </w:r>
            <w:r/>
          </w:p>
          <w:p>
            <w:pPr>
              <w:pStyle w:val="977"/>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②中国政府采购网（</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"http://www.ccgp.gov.cn/"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www.ccgp.gov.cn</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 xml:space="preserve">）；</w:t>
            </w:r>
            <w:r/>
          </w:p>
          <w:p>
            <w:pPr>
              <w:pStyle w:val="977"/>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③“信用江苏”网（http://credit.jiangsu.gov.cn）；</w:t>
            </w:r>
            <w:r/>
          </w:p>
          <w:p>
            <w:pPr>
              <w:pStyle w:val="977"/>
              <w:ind w:firstLine="480"/>
              <w:jc w:val="left"/>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④“信用中国（江苏徐州）”网（</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"http://www.xuzhoucredit.gov.cn/"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http://www.xuzhoucredit.gov.cn</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 xml:space="preserve">）。</w:t>
            </w:r>
            <w:r/>
          </w:p>
          <w:p>
            <w:pPr>
              <w:pStyle w:val="977"/>
              <w:numPr>
                <w:ilvl w:val="0"/>
                <w:numId w:val="3"/>
              </w:numPr>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截止时点（查询环节）：开标后资格审查结束前。</w:t>
            </w:r>
            <w:r/>
          </w:p>
          <w:p>
            <w:pPr>
              <w:pStyle w:val="977"/>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（4）信用信息查询记录和证据留存的具体方式：网页截屏打印，与其他采购文件一并保存。</w:t>
            </w:r>
            <w:r/>
          </w:p>
          <w:p>
            <w:pPr>
              <w:pStyle w:val="977"/>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（5）信用信息的使用规则：</w:t>
            </w:r>
            <w:r/>
          </w:p>
          <w:p>
            <w:pPr>
              <w:pStyle w:val="977"/>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招标代理服务费由中标人支付，收费标准按本招标文件《招标代理服务收费标准》执行。</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jc w:val="cente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二、招标</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spacing w:line="360" w:lineRule="auto"/>
              <w:tabs>
                <w:tab w:val="left" w:pos="576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不安排现场考察。</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不安排开标前答疑会</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jc w:val="cente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三、投标</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投标文件的语言为中文</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p>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线上投标文件编制要求：</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请按照以下要求（包括但不限于以下要求）制作：</w:t>
            </w:r>
            <w:r/>
          </w:p>
          <w:p>
            <w:pPr>
              <w:pStyle w:val="977"/>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一、基本目录</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1.《开标一览表》（加盖电子签章，政府采购客户端工具输入报价自动生成）；</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2.所投产品的环境标志产品认证证书原件的扫描件（如有）。</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（2）环境标志产品认证证书是否符合要求，采购人评标时查询中国政府采购网（www.ccgp.gov.cn）相关内容后确定。</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3.所投产品的节能产品认证证书原件的扫描件（如有）。</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（2）节能产品认证证书是否符合要求，采购人评标时查询中国政府采购网（www.ccgp.gov.cn）相关内容后确定。</w:t>
            </w:r>
            <w:r/>
          </w:p>
          <w:p>
            <w:pPr>
              <w:pStyle w:val="977"/>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二、资格条件（1～7项必须提供，否则投标无效）</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i w:val="0"/>
                <w:caps w:val="0"/>
                <w:color w:val="333333"/>
                <w:spacing w:val="0"/>
                <w:sz w:val="28"/>
                <w:szCs w:val="28"/>
              </w:rPr>
              <w:t xml:space="preserve">投标人合法有效的法人的营业执照（或事业单位法人证书）或其他组织应提供合法证明文件的原件扫描件（加盖电子签章）</w:t>
            </w:r>
            <w:r>
              <w:rPr>
                <w:rFonts w:hint="eastAsia" w:ascii="仿宋" w:hAnsi="仿宋" w:eastAsia="仿宋" w:cs="仿宋"/>
                <w:bCs/>
                <w:color w:val="auto"/>
                <w:sz w:val="28"/>
                <w:szCs w:val="28"/>
                <w:highlight w:val="none"/>
              </w:rPr>
              <w:t xml:space="preserve">;</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4.具备履行合同所必需的设备和专业技术能力的证明材料（即提供</w:t>
            </w:r>
            <w:r>
              <w:rPr>
                <w:rFonts w:hint="eastAsia" w:ascii="仿宋" w:hAnsi="仿宋" w:eastAsia="仿宋" w:cs="仿宋"/>
                <w:color w:val="auto"/>
                <w:sz w:val="28"/>
                <w:szCs w:val="28"/>
                <w:highlight w:val="none"/>
              </w:rPr>
              <w:t xml:space="preserve">具备医疗器械经营企业许可证或医疗器械经营备案凭证或生产许可资格。</w:t>
            </w:r>
            <w:r>
              <w:rPr>
                <w:rFonts w:hint="eastAsia" w:ascii="仿宋" w:hAnsi="仿宋" w:eastAsia="仿宋" w:cs="仿宋"/>
                <w:bCs/>
                <w:color w:val="auto"/>
                <w:sz w:val="28"/>
                <w:szCs w:val="28"/>
                <w:highlight w:val="none"/>
              </w:rPr>
              <w:t xml:space="preserve">加盖电子签章，格式见招标文件第七章《投标文件相关格式》）；</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5.投标人参加政府采购活动前3年内在经营活动中没有重大违法记录的书面声明（加盖电子签章，格式见招标文件第七章《投标文件相关格式》）；</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7.投标人不是为本采购项目提供整体设计、规范编制或者项目管理、监理、检测等服务的供应商的书面声明。（加盖电子签章，格式见招标文件第七章《投标文件相关格式》）。</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8.投标人信用信息（要求见本章条款项号“(六)”中“4、”内容）。</w:t>
            </w:r>
            <w:r/>
          </w:p>
          <w:p>
            <w:pPr>
              <w:pStyle w:val="977"/>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三、符合条件（必须提供，否则投标无效）</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（一）报价</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1.《开标一览表》（加盖电子签章，格式见招标文件第七章《投标文件相关格式》。）；</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2.《分项价格表》（加盖电子签章，格式见招标文件第七章《投标文件相关格式》。）；</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（二）商务资信</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1.《投标函》（加盖电子签章，格式见招标文件第七章《投标文件相关格式》。）；</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2、《授权委托书》（加盖电子签章，格式见招标文件第七章《投标文件相关格式》。）；</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（三）技术响应</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1.《偏离表》（加盖电子签章，格式见招标文件第七章《投标文件相关格式》。）；</w:t>
            </w:r>
            <w:r/>
          </w:p>
          <w:p>
            <w:pPr>
              <w:pStyle w:val="977"/>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四、综合评审评分项</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（一）技术部分</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1.所投产品的技术规格（要求见招标文件第六章《采购需求》）；</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2.所投产品性能与质量评价（要求见招标文件第六章《采购需求》）；</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3.项目实施方案（要求见招标文件第六章《采购需求》）；</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4.质保期（要求见招标文件第六章《采购需求》）；</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5.售后服务方案（要求见招标文件第六章《采购需求》）；</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6.培训方案（要求见招标文件第六章《采购需求》）；</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（二）商务部分</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1.投标人其它证明文件及材料扫描件。</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（三）其他</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1.所投产品为“环境标志产品”（要求见招标文件第四章《评标标准》）；</w:t>
            </w:r>
            <w:r/>
          </w:p>
          <w:p>
            <w:pPr>
              <w:pStyle w:val="977"/>
              <w:ind w:firstLine="480"/>
              <w:spacing w:line="360" w:lineRule="auto"/>
              <w:rPr>
                <w:rFonts w:eastAsia="仿宋"/>
                <w:color w:val="auto"/>
                <w:sz w:val="28"/>
                <w:szCs w:val="28"/>
                <w:highlight w:val="none"/>
              </w:rPr>
            </w:pPr>
            <w:r>
              <w:rPr>
                <w:rFonts w:hint="eastAsia" w:ascii="仿宋" w:hAnsi="仿宋" w:eastAsia="仿宋" w:cs="仿宋"/>
                <w:bCs/>
                <w:color w:val="auto"/>
                <w:sz w:val="28"/>
                <w:szCs w:val="28"/>
                <w:highlight w:val="none"/>
              </w:rPr>
              <w:t xml:space="preserve">2.所投产品为“节能产品”（要求见招标文件第四章《评标标准》）。</w:t>
            </w:r>
            <w:r/>
          </w:p>
          <w:p>
            <w:pPr>
              <w:pStyle w:val="977"/>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五、价格折扣文件格式</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（一）企业报价折扣证明：</w:t>
            </w:r>
            <w:r>
              <w:rPr>
                <w:rFonts w:hint="eastAsia" w:ascii="仿宋" w:hAnsi="仿宋" w:eastAsia="仿宋" w:cs="仿宋"/>
                <w:bCs/>
                <w:color w:val="auto"/>
                <w:sz w:val="28"/>
                <w:szCs w:val="28"/>
                <w:highlight w:val="none"/>
              </w:rPr>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企业报价折扣证明：提供的货物全部由符合政策要求的中小企业制造，提供《中小企业声明函》（填写完整，加盖电子签章，格式见招标文件第七章《投标文件相关格式》。如不填写完整或未按要求填写的，视为无效）。</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《中小企业声明函》查询渠道参考工业和信息化部发布的中小企业规模自测小程序。中小企业规模自测小程序详见《中小企业声明函》。</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注：具体以《政府采购促进中小企业发展管理办法》（财库[2020]46号）和《关于印发中小企业划型标准规定的通知》（工信部联企业[2011]300号）的规定为准。</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注：监狱企业和残疾人福利性单位等同于小微企业。</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投标人为监狱企业的，提供省级以上监狱管理局、戒毒管理局（含新疆生产建设兵团）出具的属于监狱企业的证明文件原件的扫描件。</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具体以《财政部 司法部关于政府采购支持监狱企业发展有关问题的通知》（财库〔2014〕68号）的规定为准。</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投标人为享受政府采购支持政策的残疾人福利性单位的，提供《残疾人福利性单位声明函》（加盖电子签章，格式见招标文件第七章《投标文件相关格式》）。</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享受政府采购支持政策的残疾人福利性单位应当同时满足以下条件：</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①安置的残疾人占本单位在职职工人数的比例不低于25%（含25%），并且安置的残疾人人数不少于10人（含10人）；</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②依法与安置的每位残疾人签订了一年以上（含一年）的劳动合同或服务协议；</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③为安置的每位残疾人按月足额缴纳了基本养老保险、基本医疗保险、失业保险、工伤保险和生育保险等社会保险费；</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④通过银行等金融机构向安置的每位残疾人，按月支付了不低于单位所在区县适用的经省级人民政府批准的月最低工资标准的工资；</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具体以《三部门联合发布关于促进残疾人就业政府采购政策的通知》（财库〔2017〕141号）规定为准。</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1.投标人应对以上文件的合法性、真实性负责。</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2.签订合同前，中标人必须向采购人提交其投标文件中所有扫描件的原件，采购人核查无误后，签订合同。如中标人不能在采购人规定的时间内向采购人提供原件，将被采购人视为放弃中标（成交）资格。</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商务条件见：</w:t>
            </w:r>
            <w:r/>
          </w:p>
          <w:p>
            <w:pPr>
              <w:pStyle w:val="977"/>
              <w:ind w:firstLine="480"/>
              <w:spacing w:line="360" w:lineRule="auto"/>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1.招标文件第四章《评标标准》中《评审因素细化和量化》</w:t>
            </w:r>
            <w:r/>
          </w:p>
          <w:p>
            <w:pPr>
              <w:pStyle w:val="977"/>
              <w:ind w:firstLine="480"/>
              <w:spacing w:line="360" w:lineRule="auto"/>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2.招标文件第三章《投标资料表》中“十二”</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交货和提供服务的时间见：招标文件第五章 《拟签订的合同文本》及或招标文件第六章《采购需求》。</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本采购项目预算金额：682.46万元（人民币）</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以人民币报价。</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线上投标要求：</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投标人应当通过“苏采云”系统提交数据电文形式的投标文件（即电子投标）。</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特别说明：通过“苏采云”系统提交政府采购客户端工具导出加密的投标文件（后缀名为zip）。投标文件的大小不得超过苏采云系统要求！</w:t>
            </w:r>
            <w:r/>
          </w:p>
          <w:p>
            <w:pPr>
              <w:pStyle w:val="977"/>
              <w:ind w:firstLine="480"/>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说明：本项目通过“苏采云”系统进行电子采购，即供应商投标文件从政府采购客户端工具制作通过“苏采云”系统提交，未提供线上投标文件并解密(因“苏采云”系统导致解密失败的除外)的，投标无效。</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线上投标文件的密封、签署、盖章要求：</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1.投标文件的密封（加密）要求：</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2.投标文件的签署要求：见招标文件第七章《投标文件相关格式》。</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3.投标文件的盖章要求：见招标文件第三章《投标资料表》和招标文件第七章《投标文件相关格式》。投标人须通过“苏采云”系统提供的政府采购客户端工具（使用“CA数字证书”）加盖电子签章。</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说明：投标人应准备CA数字证书以及自备的能够登录“苏采云”系统的电脑，在达到开标时间后，使用CA数字证书解密各自投标文件。</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“苏采云”系统拒收未按规定加密的投标文件。</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投标文件的提交与接收： </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1.投标文件提交与接收时间：</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线上提交与接收时间：提交投标文件截止时间（</w:t>
            </w:r>
            <w:r>
              <w:rPr>
                <w:rFonts w:hint="eastAsia" w:ascii="仿宋" w:hAnsi="仿宋" w:eastAsia="仿宋" w:cs="仿宋"/>
                <w:color w:val="auto"/>
                <w:sz w:val="28"/>
                <w:szCs w:val="28"/>
                <w:highlight w:val="none"/>
                <w:lang w:eastAsia="zh-CN"/>
              </w:rPr>
              <w:t xml:space="preserve">2025年</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lang w:val="en-US" w:eastAsia="zh-CN"/>
              </w:rPr>
              <w:t xml:space="preserve">13</w:t>
            </w:r>
            <w:r>
              <w:rPr>
                <w:rFonts w:hint="eastAsia" w:ascii="仿宋" w:hAnsi="仿宋" w:eastAsia="仿宋" w:cs="仿宋"/>
                <w:color w:val="auto"/>
                <w:sz w:val="28"/>
                <w:szCs w:val="28"/>
                <w:highlight w:val="none"/>
                <w:lang w:eastAsia="zh-CN"/>
              </w:rPr>
              <w:t xml:space="preserve">日</w:t>
            </w:r>
            <w:r>
              <w:rPr>
                <w:rFonts w:hint="eastAsia" w:ascii="仿宋" w:hAnsi="仿宋" w:eastAsia="仿宋" w:cs="仿宋"/>
                <w:color w:val="auto"/>
                <w:sz w:val="28"/>
                <w:szCs w:val="28"/>
                <w:highlight w:val="none"/>
              </w:rPr>
              <w:t xml:space="preserve">北京时间</w:t>
            </w:r>
            <w:r>
              <w:rPr>
                <w:rFonts w:hint="eastAsia" w:ascii="仿宋" w:hAnsi="仿宋" w:eastAsia="仿宋" w:cs="仿宋"/>
                <w:color w:val="auto"/>
                <w:sz w:val="28"/>
                <w:szCs w:val="28"/>
                <w:highlight w:val="none"/>
                <w:lang w:eastAsia="zh-CN"/>
              </w:rPr>
              <w:t xml:space="preserve">10：00</w:t>
            </w:r>
            <w:r>
              <w:rPr>
                <w:rFonts w:hint="eastAsia" w:ascii="仿宋" w:hAnsi="仿宋" w:eastAsia="仿宋" w:cs="仿宋"/>
                <w:color w:val="auto"/>
                <w:sz w:val="28"/>
                <w:szCs w:val="28"/>
                <w:highlight w:val="none"/>
              </w:rPr>
              <w:t xml:space="preserve">）前。</w:t>
            </w:r>
            <w:r/>
          </w:p>
          <w:p>
            <w:pPr>
              <w:pStyle w:val="977"/>
              <w:numPr>
                <w:ilvl w:val="0"/>
                <w:numId w:val="4"/>
              </w:num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投标截止时间</w:t>
            </w:r>
            <w:r>
              <w:rPr>
                <w:rFonts w:hint="eastAsia" w:ascii="仿宋" w:hAnsi="仿宋" w:eastAsia="仿宋" w:cs="仿宋"/>
                <w:color w:val="auto"/>
                <w:sz w:val="28"/>
                <w:szCs w:val="28"/>
                <w:highlight w:val="none"/>
                <w:lang w:eastAsia="zh-CN"/>
              </w:rPr>
              <w:t xml:space="preserve">2025年</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lang w:val="en-US" w:eastAsia="zh-CN"/>
              </w:rPr>
              <w:t xml:space="preserve">13</w:t>
            </w:r>
            <w:r>
              <w:rPr>
                <w:rFonts w:hint="eastAsia" w:ascii="仿宋" w:hAnsi="仿宋" w:eastAsia="仿宋" w:cs="仿宋"/>
                <w:color w:val="auto"/>
                <w:sz w:val="28"/>
                <w:szCs w:val="28"/>
                <w:highlight w:val="none"/>
                <w:lang w:eastAsia="zh-CN"/>
              </w:rPr>
              <w:t xml:space="preserve">日</w:t>
            </w:r>
            <w:r>
              <w:rPr>
                <w:rFonts w:hint="eastAsia" w:ascii="仿宋" w:hAnsi="仿宋" w:eastAsia="仿宋" w:cs="仿宋"/>
                <w:color w:val="auto"/>
                <w:sz w:val="28"/>
                <w:szCs w:val="28"/>
                <w:highlight w:val="none"/>
              </w:rPr>
              <w:t xml:space="preserve">北京时间</w:t>
            </w:r>
            <w:r>
              <w:rPr>
                <w:rFonts w:hint="eastAsia" w:ascii="仿宋" w:hAnsi="仿宋" w:eastAsia="仿宋" w:cs="仿宋"/>
                <w:color w:val="auto"/>
                <w:sz w:val="28"/>
                <w:szCs w:val="28"/>
                <w:highlight w:val="none"/>
                <w:lang w:eastAsia="zh-CN"/>
              </w:rPr>
              <w:t xml:space="preserve">10：00</w:t>
            </w:r>
            <w:r>
              <w:rPr>
                <w:rFonts w:hint="eastAsia" w:ascii="仿宋" w:hAnsi="仿宋" w:eastAsia="仿宋" w:cs="仿宋"/>
                <w:color w:val="auto"/>
                <w:sz w:val="28"/>
                <w:szCs w:val="28"/>
                <w:highlight w:val="none"/>
              </w:rPr>
              <w:t xml:space="preserve">。</w:t>
            </w:r>
            <w:r/>
          </w:p>
          <w:p>
            <w:pPr>
              <w:pStyle w:val="977"/>
              <w:numPr>
                <w:ilvl w:val="0"/>
                <w:numId w:val="4"/>
              </w:num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投标文件提交与接收地点：投标人应当通过“苏采云”系统提交数据电文形式的投标文件（即电子投标），“苏采云”系统自动接收。</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投标人应在达到开标时间后，使用CA数字证书解密各自投标文件。</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jc w:val="cente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四、开标</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rPr>
                <w:rFonts w:ascii="仿宋" w:hAnsi="仿宋" w:eastAsia="仿宋" w:cs="仿宋"/>
                <w:color w:val="auto"/>
                <w:sz w:val="28"/>
                <w:szCs w:val="28"/>
                <w:highlight w:val="none"/>
                <w:lang w:bidi="en-US"/>
              </w:rPr>
            </w:pPr>
            <w:r>
              <w:rPr>
                <w:rFonts w:hint="eastAsia" w:ascii="仿宋" w:hAnsi="仿宋" w:eastAsia="仿宋" w:cs="仿宋"/>
                <w:color w:val="auto"/>
                <w:sz w:val="28"/>
                <w:szCs w:val="28"/>
                <w:highlight w:val="none"/>
                <w:lang w:bidi="en-US"/>
              </w:rPr>
              <w:t xml:space="preserve">开标时间及地点：</w:t>
            </w:r>
            <w:r/>
          </w:p>
          <w:p>
            <w:pPr>
              <w:pStyle w:val="977"/>
              <w:ind w:firstLine="480"/>
              <w:spacing w:line="360" w:lineRule="auto"/>
              <w:rPr>
                <w:rFonts w:ascii="仿宋" w:hAnsi="仿宋" w:eastAsia="仿宋" w:cs="仿宋"/>
                <w:color w:val="auto"/>
                <w:sz w:val="28"/>
                <w:szCs w:val="28"/>
                <w:highlight w:val="none"/>
                <w:lang w:bidi="en-US"/>
              </w:rPr>
            </w:pPr>
            <w:r>
              <w:rPr>
                <w:rFonts w:hint="eastAsia" w:ascii="仿宋" w:hAnsi="仿宋" w:eastAsia="仿宋" w:cs="仿宋"/>
                <w:color w:val="auto"/>
                <w:sz w:val="28"/>
                <w:szCs w:val="28"/>
                <w:highlight w:val="none"/>
                <w:lang w:bidi="en-US"/>
              </w:rPr>
              <w:t xml:space="preserve">1.开标时间：</w:t>
            </w:r>
            <w:r>
              <w:rPr>
                <w:rFonts w:hint="eastAsia" w:ascii="仿宋" w:hAnsi="仿宋" w:eastAsia="仿宋" w:cs="仿宋"/>
                <w:color w:val="auto"/>
                <w:sz w:val="28"/>
                <w:szCs w:val="28"/>
                <w:highlight w:val="none"/>
                <w:lang w:eastAsia="zh-CN"/>
              </w:rPr>
              <w:t xml:space="preserve">2025年</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lang w:val="en-US" w:eastAsia="zh-CN"/>
              </w:rPr>
              <w:t xml:space="preserve">13</w:t>
            </w:r>
            <w:r>
              <w:rPr>
                <w:rFonts w:hint="eastAsia" w:ascii="仿宋" w:hAnsi="仿宋" w:eastAsia="仿宋" w:cs="仿宋"/>
                <w:color w:val="auto"/>
                <w:sz w:val="28"/>
                <w:szCs w:val="28"/>
                <w:highlight w:val="none"/>
                <w:lang w:eastAsia="zh-CN"/>
              </w:rPr>
              <w:t xml:space="preserve">日</w:t>
            </w:r>
            <w:r>
              <w:rPr>
                <w:rFonts w:hint="eastAsia" w:ascii="仿宋" w:hAnsi="仿宋" w:eastAsia="仿宋" w:cs="仿宋"/>
                <w:color w:val="auto"/>
                <w:sz w:val="28"/>
                <w:szCs w:val="28"/>
                <w:highlight w:val="none"/>
                <w:lang w:eastAsia="zh-CN" w:bidi="en-US"/>
              </w:rPr>
              <w:t xml:space="preserve">10：00</w:t>
            </w:r>
            <w:r>
              <w:rPr>
                <w:rFonts w:hint="eastAsia" w:ascii="仿宋" w:hAnsi="仿宋" w:eastAsia="仿宋" w:cs="仿宋"/>
                <w:color w:val="auto"/>
                <w:sz w:val="28"/>
                <w:szCs w:val="28"/>
                <w:highlight w:val="none"/>
                <w:lang w:bidi="en-US"/>
              </w:rPr>
              <w:t xml:space="preserve">（北京时间）</w:t>
            </w:r>
            <w:r/>
          </w:p>
          <w:p>
            <w:pPr>
              <w:pStyle w:val="977"/>
              <w:ind w:firstLine="480"/>
              <w:jc w:val="left"/>
              <w:spacing w:line="360" w:lineRule="auto"/>
              <w:rPr>
                <w:rFonts w:ascii="仿宋" w:hAnsi="仿宋" w:eastAsia="仿宋" w:cs="仿宋"/>
                <w:color w:val="auto"/>
                <w:sz w:val="28"/>
                <w:szCs w:val="28"/>
                <w:highlight w:val="none"/>
                <w:lang w:bidi="en-US"/>
              </w:rPr>
            </w:pPr>
            <w:r>
              <w:rPr>
                <w:rFonts w:hint="eastAsia" w:ascii="仿宋" w:hAnsi="仿宋" w:eastAsia="仿宋" w:cs="仿宋"/>
                <w:color w:val="auto"/>
                <w:sz w:val="28"/>
                <w:szCs w:val="28"/>
                <w:highlight w:val="none"/>
                <w:lang w:bidi="en-US"/>
              </w:rPr>
              <w:t xml:space="preserve">2.开标地点：</w:t>
            </w:r>
            <w:r/>
          </w:p>
          <w:p>
            <w:pPr>
              <w:pStyle w:val="977"/>
              <w:ind w:firstLine="480"/>
              <w:jc w:val="left"/>
              <w:spacing w:line="360" w:lineRule="auto"/>
              <w:rPr>
                <w:rFonts w:ascii="仿宋" w:hAnsi="仿宋" w:eastAsia="仿宋" w:cs="仿宋"/>
                <w:color w:val="auto"/>
                <w:sz w:val="28"/>
                <w:szCs w:val="28"/>
                <w:highlight w:val="none"/>
                <w:lang w:bidi="en-US"/>
              </w:rPr>
            </w:pPr>
            <w:r>
              <w:rPr>
                <w:rFonts w:hint="eastAsia" w:ascii="仿宋" w:hAnsi="仿宋" w:eastAsia="仿宋" w:cs="仿宋"/>
                <w:color w:val="auto"/>
                <w:sz w:val="28"/>
                <w:szCs w:val="28"/>
                <w:highlight w:val="none"/>
                <w:lang w:bidi="en-US"/>
              </w:rPr>
              <w:t xml:space="preserve">线上地点：“苏采云”系统（网址： http://jszfcg.jsczt.cn/）“开标大厅”或进入徐州政府采购网（网址：http://czj.xz.gov.cn/Home/HomeIndex）--业务工作--采购人登录，点击“苏采云”进入系统“开标大厅”。</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线上开标时，“苏采云”系统自动提取所有投标文件，投标人按招标文件规定方式按时在线解密。本项目招标文件规定的投标人按时在线解密方式：截至本公告发布之日“苏采云”系统解密时间为</w:t>
            </w:r>
            <w:r>
              <w:rPr>
                <w:rFonts w:hint="eastAsia" w:ascii="仿宋" w:hAnsi="仿宋" w:eastAsia="仿宋" w:cs="仿宋"/>
                <w:b/>
                <w:bCs/>
                <w:color w:val="auto"/>
                <w:sz w:val="28"/>
                <w:szCs w:val="28"/>
                <w:highlight w:val="none"/>
              </w:rPr>
              <w:t xml:space="preserve">开标时间后30分钟内，</w:t>
            </w:r>
            <w:r>
              <w:rPr>
                <w:rFonts w:hint="eastAsia" w:ascii="仿宋" w:hAnsi="仿宋" w:eastAsia="仿宋" w:cs="仿宋"/>
                <w:color w:val="auto"/>
                <w:sz w:val="28"/>
                <w:szCs w:val="28"/>
                <w:highlight w:val="none"/>
              </w:rPr>
              <w:t xml:space="preserve">请投标人务必在开标时间内时刻关注“苏采云”系统，在“苏采云”系统规定的解密时间内，通过“苏采云”系统（使用“CA数字证书”）解密，投标人因自身原因未及时查看“苏采云”系统提示，而导致未及时解密的，采购人及代理机构不承担任何责任。</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所有投标人解密（或解密时间）结束后，“苏采云”系统生成开标记录并向社会公众公布，但依法应当保密的除外。</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jc w:val="cente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五、评标</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ind w:left="0" w:firstLine="0"/>
              <w:jc w:val="both"/>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本项目的评标方法：综合评分法。</w:t>
            </w:r>
            <w:r/>
          </w:p>
        </w:tc>
      </w:tr>
      <w:tr>
        <w:trPr>
          <w:trHeight w:val="1306"/>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ind w:left="0" w:firstLine="0"/>
              <w:jc w:val="both"/>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p>
          <w:p>
            <w:pPr>
              <w:pStyle w:val="977"/>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jc w:val="left"/>
              <w:spacing w:line="360" w:lineRule="auto"/>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一、推荐中标候选供应商名单。中标候选供应商数量应当根据采购需要确定，但必须按顺序排列中标候选供应商。</w:t>
            </w:r>
            <w:r/>
          </w:p>
          <w:p>
            <w:pPr>
              <w:pStyle w:val="977"/>
              <w:ind w:firstLine="480"/>
              <w:jc w:val="left"/>
              <w:spacing w:line="360" w:lineRule="auto"/>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二、采用综合评分法的，按评审后得分由高到低顺序排列。得分相同的，按投标报价由低到高顺序排列。得分且投标报价相同的，按项目实施方案得分由高到低顺序排列。</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jc w:val="left"/>
              <w:spacing w:line="360" w:lineRule="auto"/>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1.评标中需要投标人对投标文件澄清或者说明的，应当通过“苏采云”系统交换数据电文。</w:t>
            </w:r>
            <w:r>
              <w:rPr>
                <w:rFonts w:hint="eastAsia" w:ascii="仿宋" w:hAnsi="仿宋" w:eastAsia="仿宋" w:cs="仿宋"/>
                <w:b/>
                <w:bCs/>
                <w:color w:val="auto"/>
                <w:sz w:val="28"/>
                <w:szCs w:val="28"/>
                <w:highlight w:val="none"/>
              </w:rPr>
              <w:t xml:space="preserve">在评标期间，请投标人保持在线</w:t>
            </w:r>
            <w:r>
              <w:rPr>
                <w:rFonts w:hint="eastAsia" w:ascii="仿宋" w:hAnsi="仿宋" w:eastAsia="仿宋" w:cs="仿宋"/>
                <w:color w:val="auto"/>
                <w:sz w:val="28"/>
                <w:szCs w:val="28"/>
                <w:highlight w:val="none"/>
              </w:rPr>
              <w:t xml:space="preserve">。</w:t>
            </w:r>
            <w:r/>
          </w:p>
          <w:p>
            <w:pPr>
              <w:pStyle w:val="977"/>
              <w:ind w:firstLine="480"/>
              <w:jc w:val="left"/>
              <w:spacing w:line="360" w:lineRule="auto"/>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77"/>
              <w:ind w:firstLine="480"/>
              <w:jc w:val="left"/>
              <w:spacing w:line="360" w:lineRule="auto"/>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77"/>
              <w:ind w:firstLine="482"/>
              <w:jc w:val="left"/>
              <w:spacing w:line="360" w:lineRule="auto"/>
              <w:widowControl/>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jc w:val="cente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六、政府采购合同</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采购人与中标、成交供应商应当在中标、成交通知书发出之日起</w:t>
            </w:r>
            <w:r>
              <w:rPr>
                <w:rFonts w:hint="eastAsia" w:ascii="仿宋" w:hAnsi="仿宋" w:eastAsia="仿宋" w:cs="仿宋"/>
                <w:color w:val="auto"/>
                <w:sz w:val="28"/>
                <w:szCs w:val="28"/>
                <w:highlight w:val="none"/>
                <w:u w:val="single"/>
                <w:lang w:val="en-US" w:eastAsia="zh-CN"/>
              </w:rPr>
              <w:t xml:space="preserve">30</w:t>
            </w:r>
            <w:r>
              <w:rPr>
                <w:rFonts w:hint="eastAsia" w:ascii="仿宋" w:hAnsi="仿宋" w:eastAsia="仿宋" w:cs="仿宋"/>
                <w:color w:val="auto"/>
                <w:sz w:val="28"/>
                <w:szCs w:val="28"/>
                <w:highlight w:val="none"/>
                <w:u w:val="single"/>
                <w:lang w:eastAsia="zh-CN"/>
              </w:rPr>
              <w:t xml:space="preserve">日</w:t>
            </w:r>
            <w:r>
              <w:rPr>
                <w:rFonts w:hint="eastAsia" w:ascii="仿宋" w:hAnsi="仿宋" w:eastAsia="仿宋" w:cs="仿宋"/>
                <w:color w:val="auto"/>
                <w:sz w:val="28"/>
                <w:szCs w:val="28"/>
                <w:highlight w:val="none"/>
              </w:rPr>
              <w:t xml:space="preserve">内，按照采购文件确定的事项签订采购合同。</w:t>
            </w:r>
            <w:r/>
          </w:p>
        </w:tc>
      </w:tr>
      <w:tr>
        <w:trPr>
          <w:trHeight w:val="336"/>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207" w:type="dxa"/>
            <w:vAlign w:val="center"/>
            <w:textDirection w:val="lrTb"/>
            <w:noWrap w:val="false"/>
          </w:tcPr>
          <w:p>
            <w:pPr>
              <w:pStyle w:val="978"/>
              <w:ind w:firstLine="480"/>
              <w:spacing w:after="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履约保证金：详见第五章《拟签订的合同文本》</w:t>
            </w:r>
            <w:r/>
          </w:p>
        </w:tc>
      </w:tr>
      <w:tr>
        <w:trPr>
          <w:trHeight w:val="398"/>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w:t>
            </w:r>
            <w:r/>
          </w:p>
        </w:tc>
        <w:tc>
          <w:tcPr>
            <w:tcBorders>
              <w:top w:val="single" w:color="000000" w:sz="4" w:space="0"/>
              <w:left w:val="single" w:color="000000" w:sz="4" w:space="0"/>
              <w:bottom w:val="single" w:color="000000" w:sz="4" w:space="0"/>
              <w:right w:val="single" w:color="000000" w:sz="4" w:space="0"/>
            </w:tcBorders>
            <w:tcW w:w="8207" w:type="dxa"/>
            <w:vAlign w:val="center"/>
            <w:textDirection w:val="lrTb"/>
            <w:noWrap w:val="false"/>
          </w:tcPr>
          <w:p>
            <w:pPr>
              <w:pStyle w:val="977"/>
              <w:ind w:firstLine="562"/>
              <w:jc w:val="center"/>
              <w:spacing w:line="360" w:lineRule="auto"/>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八、询问和质疑</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供应商在法定质疑期内一次性提出针对同一采购程序环节的质疑。</w:t>
            </w:r>
            <w:r/>
          </w:p>
          <w:p>
            <w:pPr>
              <w:pStyle w:val="977"/>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质疑接收人：</w:t>
            </w:r>
            <w:r>
              <w:rPr>
                <w:rFonts w:hint="eastAsia" w:ascii="仿宋" w:hAnsi="仿宋" w:eastAsia="仿宋" w:cs="仿宋"/>
                <w:color w:val="auto"/>
                <w:sz w:val="28"/>
                <w:szCs w:val="28"/>
                <w:highlight w:val="none"/>
                <w:lang w:eastAsia="zh-CN"/>
              </w:rPr>
              <w:t xml:space="preserve">邓佳怡</w:t>
            </w:r>
            <w:r>
              <w:rPr>
                <w:rFonts w:hint="eastAsia" w:ascii="仿宋" w:hAnsi="仿宋" w:eastAsia="仿宋" w:cs="仿宋"/>
                <w:color w:val="auto"/>
                <w:sz w:val="28"/>
                <w:szCs w:val="28"/>
                <w:highlight w:val="none"/>
                <w:lang w:bidi="en-US"/>
              </w:rPr>
              <w:t xml:space="preserve"> </w:t>
            </w:r>
            <w:r>
              <w:rPr>
                <w:rFonts w:hint="eastAsia" w:ascii="仿宋" w:hAnsi="仿宋" w:eastAsia="仿宋" w:cs="仿宋"/>
                <w:color w:val="auto"/>
                <w:sz w:val="28"/>
                <w:szCs w:val="28"/>
                <w:highlight w:val="none"/>
              </w:rPr>
              <w:t xml:space="preserve">   联系电话：</w:t>
            </w:r>
            <w:r>
              <w:rPr>
                <w:rFonts w:hint="eastAsia" w:ascii="仿宋" w:hAnsi="仿宋" w:eastAsia="仿宋" w:cs="仿宋"/>
                <w:color w:val="auto"/>
                <w:sz w:val="28"/>
                <w:szCs w:val="28"/>
                <w:highlight w:val="none"/>
                <w:lang w:eastAsia="zh-CN" w:bidi="en-US"/>
              </w:rPr>
              <w:t xml:space="preserve">19941619353</w:t>
            </w:r>
            <w:r/>
          </w:p>
          <w:p>
            <w:pPr>
              <w:pStyle w:val="977"/>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bidi="en-US"/>
              </w:rPr>
              <w:t xml:space="preserve">徐州市新城区永嘉新城A座1203室</w:t>
            </w:r>
            <w:r/>
          </w:p>
        </w:tc>
      </w:tr>
      <w:tr>
        <w:trPr>
          <w:trHeight w:val="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77"/>
              <w:jc w:val="center"/>
              <w:spacing w:line="360" w:lineRule="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77"/>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中标人在收到中标通知书时，须向采购代理机构提交《开标一览表》和《分项价格表》的数据文件（WORD格式）。</w:t>
            </w:r>
            <w:r/>
          </w:p>
        </w:tc>
      </w:tr>
    </w:tbl>
    <w:p>
      <w:pPr>
        <w:pStyle w:val="977"/>
        <w:spacing w:line="360" w:lineRule="auto"/>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360" w:lineRule="auto"/>
        <w:rPr>
          <w:color w:val="auto"/>
          <w:sz w:val="32"/>
          <w:szCs w:val="32"/>
          <w:highlight w:val="none"/>
        </w:rPr>
        <w:sectPr>
          <w:footerReference w:type="default" r:id="rId13"/>
          <w:footnotePr/>
          <w:endnotePr/>
          <w:type w:val="nextPage"/>
          <w:pgSz w:w="11906" w:h="16838" w:orient="portrait"/>
          <w:pgMar w:top="1440" w:right="1800" w:bottom="1440" w:left="1800" w:header="737" w:footer="992" w:gutter="0"/>
          <w:pgNumType w:start="1"/>
          <w:cols w:num="1" w:sep="0" w:space="1701" w:equalWidth="1"/>
          <w:docGrid w:linePitch="360"/>
        </w:sectPr>
      </w:pPr>
      <w:r>
        <w:rPr>
          <w:color w:val="auto"/>
          <w:sz w:val="32"/>
          <w:szCs w:val="32"/>
          <w:highlight w:val="none"/>
        </w:rPr>
      </w:r>
      <w:r/>
    </w:p>
    <w:p>
      <w:pPr>
        <w:pStyle w:val="977"/>
        <w:ind w:firstLine="562"/>
        <w:jc w:val="left"/>
        <w:spacing w:line="40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w:t>
      </w:r>
      <w:r/>
    </w:p>
    <w:p>
      <w:pPr>
        <w:numPr>
          <w:ilvl w:val="0"/>
          <w:numId w:val="0"/>
        </w:numPr>
        <w:jc w:val="center"/>
        <w:spacing w:line="0" w:lineRule="atLeast"/>
        <w:widowControl/>
        <w:rPr>
          <w:rFonts w:hint="eastAsia" w:ascii="仿宋" w:hAnsi="仿宋" w:eastAsia="仿宋" w:cs="仿宋"/>
          <w:b/>
          <w:bCs/>
          <w:color w:val="000000"/>
          <w:sz w:val="30"/>
          <w:szCs w:val="30"/>
        </w:rPr>
      </w:pPr>
      <w:r/>
      <w:bookmarkStart w:id="0" w:name="_Toc9429"/>
      <w:r>
        <w:rPr>
          <w:rFonts w:hint="eastAsia" w:ascii="宋体" w:hAnsi="宋体" w:eastAsia="宋体" w:cs="宋体"/>
          <w:b/>
          <w:bCs/>
          <w:color w:val="000000"/>
          <w:sz w:val="32"/>
          <w:szCs w:val="32"/>
        </w:rPr>
        <w:t xml:space="preserve">徐州市政府采购代理服务费</w:t>
      </w:r>
      <w:r>
        <w:rPr>
          <w:rFonts w:hint="eastAsia" w:ascii="宋体" w:hAnsi="宋体" w:eastAsia="宋体" w:cs="宋体"/>
          <w:b/>
          <w:bCs/>
          <w:color w:val="000000"/>
          <w:sz w:val="32"/>
          <w:szCs w:val="32"/>
          <w:lang w:val="en-US" w:eastAsia="zh-CN"/>
        </w:rPr>
        <w:t xml:space="preserve">行业</w:t>
      </w:r>
      <w:r>
        <w:rPr>
          <w:rFonts w:hint="eastAsia" w:ascii="宋体" w:hAnsi="宋体" w:eastAsia="宋体" w:cs="宋体"/>
          <w:b/>
          <w:bCs/>
          <w:color w:val="000000"/>
          <w:sz w:val="32"/>
          <w:szCs w:val="32"/>
        </w:rPr>
        <w:t xml:space="preserve">指导价格</w:t>
      </w:r>
      <w:r/>
    </w:p>
    <w:p>
      <w:pPr>
        <w:jc w:val="both"/>
        <w:spacing w:after="0" w:line="360" w:lineRule="auto"/>
        <w:rPr>
          <w:rFonts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r>
      <w:r/>
    </w:p>
    <w:tbl>
      <w:tblPr>
        <w:tblStyle w:val="780"/>
        <w:tblW w:w="7693"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4"/>
        <w:gridCol w:w="1599"/>
      </w:tblGrid>
      <w:tr>
        <w:trPr>
          <w:cantSplit/>
          <w:jc w:val="center"/>
          <w:trHeight w:val="567" w:hRule="exact"/>
        </w:trPr>
        <w:tc>
          <w:tcPr>
            <w:tcBorders>
              <w:top w:val="single" w:color="auto" w:sz="4" w:space="0"/>
            </w:tcBorders>
            <w:tcW w:w="6094"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中标</w:t>
            </w:r>
            <w:r>
              <w:rPr>
                <w:rFonts w:hint="eastAsia" w:ascii="仿宋" w:hAnsi="仿宋" w:eastAsia="仿宋" w:cs="仿宋"/>
                <w:color w:val="000000"/>
                <w:sz w:val="24"/>
                <w:szCs w:val="24"/>
                <w:lang w:eastAsia="zh-CN"/>
              </w:rPr>
              <w:t xml:space="preserve">或者成交</w:t>
            </w:r>
            <w:r>
              <w:rPr>
                <w:rFonts w:hint="eastAsia" w:ascii="仿宋" w:hAnsi="仿宋" w:eastAsia="仿宋" w:cs="仿宋"/>
                <w:color w:val="000000"/>
                <w:sz w:val="24"/>
                <w:szCs w:val="24"/>
              </w:rPr>
              <w:t xml:space="preserve">金额</w:t>
            </w:r>
            <w:r/>
          </w:p>
        </w:tc>
        <w:tc>
          <w:tcPr>
            <w:tcBorders>
              <w:top w:val="single" w:color="auto" w:sz="4" w:space="0"/>
            </w:tcBorders>
            <w:tcW w:w="1599" w:type="dxa"/>
            <w:vAlign w:val="center"/>
            <w:textDirection w:val="lrTb"/>
            <w:noWrap w:val="false"/>
          </w:tcPr>
          <w:p>
            <w:pPr>
              <w:jc w:val="center"/>
              <w:spacing w:line="6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费率</w:t>
            </w:r>
            <w:r/>
          </w:p>
        </w:tc>
      </w:tr>
      <w:tr>
        <w:trPr>
          <w:cantSplit/>
          <w:jc w:val="center"/>
          <w:trHeight w:val="567" w:hRule="exact"/>
        </w:trPr>
        <w:tc>
          <w:tcPr>
            <w:tcW w:w="6094" w:type="dxa"/>
            <w:vAlign w:val="center"/>
            <w:textDirection w:val="lrTb"/>
            <w:noWrap w:val="false"/>
          </w:tcPr>
          <w:p>
            <w:pPr>
              <w:jc w:val="center"/>
              <w:spacing w:line="6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最低收费金额(每个委托项目)</w:t>
            </w:r>
            <w:r/>
          </w:p>
        </w:tc>
        <w:tc>
          <w:tcPr>
            <w:tcW w:w="1599" w:type="dxa"/>
            <w:vAlign w:val="center"/>
            <w:textDirection w:val="lrTb"/>
            <w:noWrap w:val="false"/>
          </w:tcPr>
          <w:p>
            <w:pPr>
              <w:jc w:val="center"/>
              <w:spacing w:line="6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5000元</w:t>
            </w:r>
            <w:r/>
          </w:p>
        </w:tc>
      </w:tr>
      <w:tr>
        <w:trPr>
          <w:cantSplit/>
          <w:jc w:val="center"/>
          <w:trHeight w:val="567" w:hRule="exact"/>
        </w:trPr>
        <w:tc>
          <w:tcPr>
            <w:tcW w:w="6094"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50万元以下(含50万元)</w:t>
            </w:r>
            <w:r/>
          </w:p>
        </w:tc>
        <w:tc>
          <w:tcPr>
            <w:tcW w:w="1599"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eastAsia="zh-CN"/>
              </w:rPr>
              <w:t xml:space="preserve">6</w:t>
            </w:r>
            <w:r>
              <w:rPr>
                <w:rFonts w:hint="eastAsia" w:ascii="仿宋" w:hAnsi="仿宋" w:eastAsia="仿宋" w:cs="仿宋"/>
                <w:color w:val="000000"/>
                <w:sz w:val="24"/>
                <w:szCs w:val="24"/>
              </w:rPr>
              <w:t xml:space="preserve">%</w:t>
            </w:r>
            <w:r/>
          </w:p>
        </w:tc>
      </w:tr>
      <w:tr>
        <w:trPr>
          <w:cantSplit/>
          <w:jc w:val="center"/>
          <w:trHeight w:val="567" w:hRule="exact"/>
        </w:trPr>
        <w:tc>
          <w:tcPr>
            <w:tcW w:w="6094"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50-400万元(含400万元)</w:t>
            </w:r>
            <w:r/>
          </w:p>
        </w:tc>
        <w:tc>
          <w:tcPr>
            <w:tcW w:w="1599"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1.5%</w:t>
            </w:r>
            <w:r/>
          </w:p>
        </w:tc>
      </w:tr>
      <w:tr>
        <w:trPr>
          <w:cantSplit/>
          <w:jc w:val="center"/>
          <w:trHeight w:val="567" w:hRule="exact"/>
        </w:trPr>
        <w:tc>
          <w:tcPr>
            <w:tcW w:w="6094"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400-1000万元(含1000万元)</w:t>
            </w:r>
            <w:r/>
          </w:p>
        </w:tc>
        <w:tc>
          <w:tcPr>
            <w:tcW w:w="1599"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w:t>
            </w:r>
            <w:r/>
          </w:p>
        </w:tc>
      </w:tr>
      <w:tr>
        <w:trPr>
          <w:cantSplit/>
          <w:jc w:val="center"/>
          <w:trHeight w:val="567" w:hRule="exact"/>
        </w:trPr>
        <w:tc>
          <w:tcPr>
            <w:tcW w:w="6094"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1000-5000万元(含5000万元)</w:t>
            </w:r>
            <w:r/>
          </w:p>
        </w:tc>
        <w:tc>
          <w:tcPr>
            <w:tcW w:w="1599"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0.</w:t>
            </w:r>
            <w:r>
              <w:rPr>
                <w:rFonts w:hint="eastAsia" w:ascii="仿宋" w:hAnsi="仿宋" w:eastAsia="仿宋" w:cs="仿宋"/>
                <w:color w:val="000000"/>
                <w:sz w:val="24"/>
                <w:szCs w:val="24"/>
                <w:lang w:eastAsia="zh-CN"/>
              </w:rPr>
              <w:t xml:space="preserve">8</w:t>
            </w:r>
            <w:r>
              <w:rPr>
                <w:rFonts w:hint="eastAsia" w:ascii="仿宋" w:hAnsi="仿宋" w:eastAsia="仿宋" w:cs="仿宋"/>
                <w:color w:val="000000"/>
                <w:sz w:val="24"/>
                <w:szCs w:val="24"/>
              </w:rPr>
              <w:t xml:space="preserve">%</w:t>
            </w:r>
            <w:r/>
          </w:p>
        </w:tc>
      </w:tr>
      <w:tr>
        <w:trPr>
          <w:cantSplit/>
          <w:jc w:val="center"/>
          <w:trHeight w:val="567" w:hRule="exact"/>
        </w:trPr>
        <w:tc>
          <w:tcPr>
            <w:tcW w:w="6094"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5000-1 亿元(含1亿元)</w:t>
            </w:r>
            <w:r/>
          </w:p>
        </w:tc>
        <w:tc>
          <w:tcPr>
            <w:tcW w:w="1599"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0.</w:t>
            </w:r>
            <w:r>
              <w:rPr>
                <w:rFonts w:hint="eastAsia" w:ascii="仿宋" w:hAnsi="仿宋" w:eastAsia="仿宋" w:cs="仿宋"/>
                <w:color w:val="000000"/>
                <w:sz w:val="24"/>
                <w:szCs w:val="24"/>
                <w:lang w:eastAsia="zh-CN"/>
              </w:rPr>
              <w:t xml:space="preserve">2</w:t>
            </w:r>
            <w:r>
              <w:rPr>
                <w:rFonts w:hint="eastAsia" w:ascii="仿宋" w:hAnsi="仿宋" w:eastAsia="仿宋" w:cs="仿宋"/>
                <w:color w:val="000000"/>
                <w:sz w:val="24"/>
                <w:szCs w:val="24"/>
              </w:rPr>
              <w:t xml:space="preserve">5%</w:t>
            </w:r>
            <w:r/>
          </w:p>
        </w:tc>
      </w:tr>
      <w:tr>
        <w:trPr>
          <w:cantSplit/>
          <w:jc w:val="center"/>
          <w:trHeight w:val="567" w:hRule="exact"/>
        </w:trPr>
        <w:tc>
          <w:tcPr>
            <w:tcW w:w="6094"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1-10亿元(含 10 亿元)</w:t>
            </w:r>
            <w:r/>
          </w:p>
        </w:tc>
        <w:tc>
          <w:tcPr>
            <w:tcW w:w="1599"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0.05%</w:t>
            </w:r>
            <w:r/>
          </w:p>
        </w:tc>
      </w:tr>
      <w:tr>
        <w:trPr>
          <w:cantSplit/>
          <w:jc w:val="center"/>
          <w:trHeight w:val="567" w:hRule="exact"/>
        </w:trPr>
        <w:tc>
          <w:tcPr>
            <w:tcW w:w="6094"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10-50亿元(含50 亿元)</w:t>
            </w:r>
            <w:r/>
          </w:p>
        </w:tc>
        <w:tc>
          <w:tcPr>
            <w:tcW w:w="1599"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0.0</w:t>
            </w:r>
            <w:r>
              <w:rPr>
                <w:rFonts w:hint="eastAsia" w:ascii="仿宋" w:hAnsi="仿宋" w:eastAsia="仿宋" w:cs="仿宋"/>
                <w:color w:val="000000"/>
                <w:sz w:val="24"/>
                <w:szCs w:val="24"/>
                <w:lang w:eastAsia="zh-CN"/>
              </w:rPr>
              <w:t xml:space="preserve">1</w:t>
            </w:r>
            <w:r>
              <w:rPr>
                <w:rFonts w:hint="eastAsia" w:ascii="仿宋" w:hAnsi="仿宋" w:eastAsia="仿宋" w:cs="仿宋"/>
                <w:color w:val="000000"/>
                <w:sz w:val="24"/>
                <w:szCs w:val="24"/>
              </w:rPr>
              <w:t xml:space="preserve">%</w:t>
            </w:r>
            <w:r/>
          </w:p>
        </w:tc>
      </w:tr>
      <w:tr>
        <w:trPr>
          <w:cantSplit/>
          <w:jc w:val="center"/>
          <w:trHeight w:val="567" w:hRule="exact"/>
        </w:trPr>
        <w:tc>
          <w:tcPr>
            <w:tcW w:w="6094"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50 亿元以上</w:t>
            </w:r>
            <w:r/>
          </w:p>
        </w:tc>
        <w:tc>
          <w:tcPr>
            <w:tcW w:w="1599" w:type="dxa"/>
            <w:vAlign w:val="center"/>
            <w:textDirection w:val="lrTb"/>
            <w:noWrap w:val="false"/>
          </w:tcPr>
          <w:p>
            <w:pPr>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0.00</w:t>
            </w:r>
            <w:r>
              <w:rPr>
                <w:rFonts w:hint="eastAsia" w:ascii="仿宋" w:hAnsi="仿宋" w:eastAsia="仿宋" w:cs="仿宋"/>
                <w:color w:val="000000"/>
                <w:sz w:val="24"/>
                <w:szCs w:val="24"/>
                <w:lang w:eastAsia="zh-CN"/>
              </w:rPr>
              <w:t xml:space="preserve">5</w:t>
            </w:r>
            <w:r>
              <w:rPr>
                <w:rFonts w:hint="eastAsia" w:ascii="仿宋" w:hAnsi="仿宋" w:eastAsia="仿宋" w:cs="仿宋"/>
                <w:color w:val="000000"/>
                <w:sz w:val="24"/>
                <w:szCs w:val="24"/>
              </w:rPr>
              <w:t xml:space="preserve">%</w:t>
            </w:r>
            <w:r/>
          </w:p>
        </w:tc>
      </w:tr>
    </w:tbl>
    <w:p>
      <w:pPr>
        <w:pStyle w:val="979"/>
        <w:ind w:left="68" w:firstLine="561"/>
        <w:spacing w:line="288" w:lineRule="auto"/>
        <w:widowControl/>
        <w:rPr>
          <w:rFonts w:ascii="仿宋" w:hAnsi="仿宋" w:eastAsia="仿宋" w:cs="仿宋"/>
          <w:bCs/>
          <w:sz w:val="28"/>
          <w:szCs w:val="28"/>
        </w:rPr>
      </w:pPr>
      <w:r>
        <w:rPr>
          <w:rFonts w:hint="eastAsia" w:ascii="仿宋" w:hAnsi="仿宋" w:eastAsia="仿宋" w:cs="仿宋"/>
          <w:bCs/>
          <w:sz w:val="28"/>
          <w:szCs w:val="28"/>
        </w:rPr>
        <w:t xml:space="preserve">说明：</w:t>
      </w:r>
      <w:r/>
    </w:p>
    <w:p>
      <w:pPr>
        <w:pStyle w:val="979"/>
        <w:ind w:firstLine="560"/>
        <w:spacing w:line="500" w:lineRule="exact"/>
        <w:widowControl/>
        <w:rPr>
          <w:rFonts w:ascii="仿宋" w:hAnsi="仿宋" w:eastAsia="仿宋" w:cs="仿宋"/>
          <w:bCs/>
          <w:sz w:val="28"/>
          <w:szCs w:val="28"/>
        </w:rPr>
      </w:pPr>
      <w:r>
        <w:rPr>
          <w:rFonts w:hint="eastAsia" w:ascii="仿宋" w:hAnsi="仿宋" w:eastAsia="仿宋" w:cs="仿宋"/>
          <w:bCs/>
          <w:sz w:val="28"/>
          <w:szCs w:val="28"/>
        </w:rPr>
        <w:t xml:space="preserve">1.按上表计算的收费为代理服务全过程的收费金额。各社会代理机构不再收取采购文件制作售卖费用。</w:t>
      </w:r>
      <w:r/>
    </w:p>
    <w:p>
      <w:pPr>
        <w:pStyle w:val="979"/>
        <w:ind w:left="629"/>
        <w:spacing w:line="500" w:lineRule="exact"/>
        <w:widowControl/>
        <w:rPr>
          <w:rFonts w:ascii="仿宋" w:hAnsi="仿宋" w:eastAsia="仿宋" w:cs="仿宋"/>
          <w:bCs/>
          <w:sz w:val="28"/>
          <w:szCs w:val="28"/>
        </w:rPr>
      </w:pPr>
      <w:r>
        <w:rPr>
          <w:rFonts w:hint="eastAsia" w:ascii="仿宋" w:hAnsi="仿宋" w:eastAsia="仿宋" w:cs="仿宋"/>
          <w:bCs/>
          <w:sz w:val="28"/>
          <w:szCs w:val="28"/>
        </w:rPr>
        <w:t xml:space="preserve">2.代理服务费按差额定率累进法计算。</w:t>
      </w:r>
      <w:r/>
    </w:p>
    <w:p>
      <w:pPr>
        <w:pStyle w:val="979"/>
        <w:ind w:left="68" w:firstLine="561"/>
        <w:spacing w:line="500" w:lineRule="exact"/>
        <w:widowControl/>
        <w:rPr>
          <w:rFonts w:ascii="仿宋" w:hAnsi="仿宋" w:eastAsia="仿宋" w:cs="仿宋"/>
          <w:bCs/>
          <w:sz w:val="28"/>
          <w:szCs w:val="28"/>
        </w:rPr>
      </w:pPr>
      <w:r>
        <w:rPr>
          <w:rFonts w:hint="eastAsia" w:ascii="仿宋" w:hAnsi="仿宋" w:eastAsia="仿宋" w:cs="仿宋"/>
          <w:bCs/>
          <w:sz w:val="28"/>
          <w:szCs w:val="28"/>
        </w:rPr>
        <w:t xml:space="preserve">3.代理服务费基准金额（按差额定率累进法计算的）=中标金额（按差额定率累进法计算的） * 费率（%）。</w:t>
      </w:r>
      <w:r/>
    </w:p>
    <w:p>
      <w:pPr>
        <w:pStyle w:val="979"/>
        <w:ind w:left="68" w:firstLine="561"/>
        <w:spacing w:line="500" w:lineRule="exact"/>
        <w:widowControl/>
        <w:rPr>
          <w:rFonts w:ascii="仿宋" w:hAnsi="仿宋" w:eastAsia="仿宋" w:cs="仿宋"/>
          <w:bCs/>
          <w:sz w:val="28"/>
          <w:szCs w:val="28"/>
        </w:rPr>
      </w:pPr>
      <w:r>
        <w:rPr>
          <w:rFonts w:hint="eastAsia" w:ascii="仿宋" w:hAnsi="仿宋" w:eastAsia="仿宋" w:cs="仿宋"/>
          <w:bCs/>
          <w:sz w:val="28"/>
          <w:szCs w:val="28"/>
        </w:rPr>
        <w:t xml:space="preserve">4.代理服务费应收取金额=代理服务费基准金额（按差额定率累进法计算的）的合计数。</w:t>
      </w:r>
      <w:r/>
    </w:p>
    <w:p>
      <w:pPr>
        <w:pStyle w:val="979"/>
        <w:ind w:left="68" w:firstLine="561"/>
        <w:spacing w:line="500" w:lineRule="exact"/>
        <w:widowControl/>
        <w:rPr>
          <w:rFonts w:ascii="仿宋" w:hAnsi="仿宋" w:eastAsia="仿宋" w:cs="仿宋"/>
          <w:bCs/>
          <w:sz w:val="28"/>
          <w:szCs w:val="28"/>
        </w:rPr>
      </w:pPr>
      <w:r>
        <w:rPr>
          <w:rFonts w:hint="eastAsia" w:ascii="仿宋" w:hAnsi="仿宋" w:eastAsia="仿宋" w:cs="仿宋"/>
          <w:bCs/>
          <w:sz w:val="28"/>
          <w:szCs w:val="28"/>
        </w:rPr>
        <w:t xml:space="preserve">5.定点类等无金额或事先不能计算出价格总额的项目，按中标（成交）金额100万元计算服务费。</w:t>
      </w:r>
      <w:r/>
    </w:p>
    <w:p>
      <w:pPr>
        <w:pStyle w:val="979"/>
        <w:ind w:left="68" w:firstLine="561"/>
        <w:spacing w:line="500" w:lineRule="exact"/>
        <w:widowControl/>
        <w:rPr>
          <w:rFonts w:ascii="仿宋" w:hAnsi="仿宋" w:eastAsia="仿宋" w:cs="仿宋"/>
          <w:bCs/>
          <w:sz w:val="28"/>
          <w:szCs w:val="28"/>
        </w:rPr>
      </w:pPr>
      <w:r>
        <w:rPr>
          <w:rFonts w:hint="eastAsia" w:ascii="仿宋" w:hAnsi="仿宋" w:eastAsia="仿宋" w:cs="仿宋"/>
          <w:bCs/>
          <w:sz w:val="28"/>
          <w:szCs w:val="28"/>
        </w:rPr>
        <w:t xml:space="preserve">6.有分包(分标段)的以一个项目计算。</w:t>
      </w:r>
      <w:r/>
    </w:p>
    <w:p>
      <w:pPr>
        <w:pStyle w:val="979"/>
        <w:ind w:left="629"/>
        <w:spacing w:line="500" w:lineRule="exact"/>
        <w:widowControl/>
        <w:rPr>
          <w:rFonts w:hint="eastAsia" w:ascii="仿宋" w:hAnsi="仿宋" w:eastAsia="仿宋" w:cs="仿宋"/>
          <w:bCs/>
          <w:sz w:val="28"/>
          <w:szCs w:val="28"/>
        </w:rPr>
      </w:pPr>
      <w:r>
        <w:rPr>
          <w:rFonts w:hint="eastAsia" w:ascii="仿宋" w:hAnsi="仿宋" w:eastAsia="仿宋" w:cs="仿宋"/>
          <w:bCs/>
          <w:sz w:val="28"/>
          <w:szCs w:val="28"/>
          <w:lang w:eastAsia="zh-CN"/>
        </w:rPr>
        <w:t xml:space="preserve">7.以上价格为协会指导价，双方可根据项目难易程度和优质优价原则协商确定。</w:t>
      </w:r>
      <w:r/>
    </w:p>
    <w:p>
      <w:pPr>
        <w:pStyle w:val="979"/>
        <w:ind w:left="629"/>
        <w:spacing w:line="500" w:lineRule="exact"/>
        <w:widowControl/>
        <w:rPr>
          <w:rFonts w:hint="eastAsia" w:ascii="仿宋" w:hAnsi="仿宋" w:eastAsia="仿宋" w:cs="仿宋"/>
          <w:sz w:val="28"/>
          <w:szCs w:val="28"/>
          <w:lang w:eastAsia="zh-CN"/>
          <w14:ligatures w14:val="none"/>
        </w:rPr>
      </w:pPr>
      <w:r>
        <w:rPr>
          <w:rFonts w:hint="eastAsia" w:ascii="仿宋" w:hAnsi="仿宋" w:eastAsia="仿宋" w:cs="仿宋"/>
          <w:sz w:val="28"/>
          <w:szCs w:val="28"/>
          <w:lang w:eastAsia="zh-CN"/>
        </w:rPr>
        <w:t xml:space="preserve">8</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t xml:space="preserve">开户行：江苏银行股份有限公司徐州城东支行</w:t>
      </w:r>
      <w:r>
        <w:rPr>
          <w:rFonts w:hint="eastAsia" w:ascii="仿宋" w:hAnsi="仿宋" w:eastAsia="仿宋" w:cs="仿宋"/>
          <w:sz w:val="28"/>
          <w:szCs w:val="28"/>
          <w:lang w:eastAsia="zh-CN"/>
        </w:rPr>
      </w:r>
      <w:r/>
    </w:p>
    <w:p>
      <w:pPr>
        <w:pStyle w:val="979"/>
        <w:ind w:left="629"/>
        <w:spacing w:line="500" w:lineRule="exact"/>
        <w:widowControl/>
        <w:rPr>
          <w:rFonts w:hint="eastAsia" w:ascii="仿宋" w:hAnsi="仿宋" w:eastAsia="仿宋" w:cs="仿宋"/>
          <w:sz w:val="28"/>
          <w:szCs w:val="28"/>
          <w:lang w:eastAsia="zh-CN"/>
          <w14:ligatures w14:val="none"/>
        </w:rPr>
      </w:pPr>
      <w:r>
        <w:rPr>
          <w:rFonts w:hint="eastAsia" w:ascii="仿宋" w:hAnsi="仿宋" w:eastAsia="仿宋" w:cs="仿宋"/>
          <w:sz w:val="28"/>
          <w:szCs w:val="28"/>
          <w:lang w:eastAsia="zh-CN"/>
        </w:rPr>
        <w:t xml:space="preserve">账户号：60150188000239523</w:t>
      </w:r>
      <w:r>
        <w:rPr>
          <w:rFonts w:hint="eastAsia" w:ascii="仿宋" w:hAnsi="仿宋" w:eastAsia="仿宋" w:cs="仿宋"/>
          <w:sz w:val="28"/>
          <w:szCs w:val="28"/>
          <w:lang w:eastAsia="zh-CN"/>
        </w:rPr>
      </w:r>
      <w:r/>
    </w:p>
    <w:p>
      <w:pPr>
        <w:pStyle w:val="979"/>
        <w:ind w:left="629"/>
        <w:spacing w:line="500" w:lineRule="exact"/>
        <w:widowControl/>
        <w:rPr>
          <w:rFonts w:hint="eastAsia" w:ascii="仿宋" w:hAnsi="仿宋" w:eastAsia="仿宋" w:cs="仿宋"/>
          <w:sz w:val="28"/>
          <w:szCs w:val="28"/>
          <w:lang w:eastAsia="zh-CN"/>
          <w14:ligatures w14:val="none"/>
        </w:rPr>
      </w:pPr>
      <w:r>
        <w:rPr>
          <w:rFonts w:hint="eastAsia" w:ascii="仿宋" w:hAnsi="仿宋" w:eastAsia="仿宋" w:cs="仿宋"/>
          <w:sz w:val="28"/>
          <w:szCs w:val="28"/>
          <w:lang w:eastAsia="zh-CN"/>
        </w:rPr>
        <w:t xml:space="preserve">开户名：中慧力祥项目管理有限公司铜山分公司</w:t>
      </w:r>
      <w:r>
        <w:rPr>
          <w:rFonts w:hint="eastAsia" w:ascii="仿宋" w:hAnsi="仿宋" w:eastAsia="仿宋" w:cs="仿宋"/>
          <w:sz w:val="28"/>
          <w:szCs w:val="28"/>
          <w:lang w:eastAsia="zh-CN"/>
        </w:rPr>
      </w:r>
      <w:r/>
    </w:p>
    <w:p>
      <w:pP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ind w:firstLine="600"/>
        <w:jc w:val="center"/>
        <w:pageBreakBefore/>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eastAsia="zh-CN"/>
        </w:rPr>
        <w:t xml:space="preserve">第四章</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评标标准</w:t>
      </w:r>
      <w:bookmarkEnd w:id="0"/>
      <w:r/>
      <w:r/>
    </w:p>
    <w:tbl>
      <w:tblPr>
        <w:tblStyle w:val="780"/>
        <w:tblW w:w="9697"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05"/>
        <w:gridCol w:w="8292"/>
      </w:tblGrid>
      <w:tr>
        <w:trPr>
          <w:jc w:val="center"/>
          <w:trHeight w:val="872"/>
        </w:trPr>
        <w:tc>
          <w:tcPr>
            <w:tcW w:w="1405" w:type="dxa"/>
            <w:vAlign w:val="center"/>
            <w:textDirection w:val="lrTb"/>
            <w:noWrap w:val="false"/>
          </w:tcPr>
          <w:p>
            <w:pPr>
              <w:jc w:val="center"/>
              <w:rPr>
                <w:rFonts w:ascii="宋体" w:hAnsi="宋体" w:eastAsia="宋体" w:cs="宋体"/>
                <w:sz w:val="28"/>
                <w:szCs w:val="28"/>
              </w:rPr>
            </w:pPr>
            <w:r>
              <w:rPr>
                <w:rFonts w:hint="eastAsia" w:ascii="仿宋" w:hAnsi="仿宋" w:eastAsia="仿宋" w:cs="Times New Roman"/>
                <w:b/>
                <w:sz w:val="28"/>
                <w:szCs w:val="28"/>
              </w:rPr>
              <w:t xml:space="preserve">评审因素及分值</w:t>
            </w:r>
            <w:r/>
          </w:p>
        </w:tc>
        <w:tc>
          <w:tcPr>
            <w:tcW w:w="8292" w:type="dxa"/>
            <w:vAlign w:val="center"/>
            <w:textDirection w:val="lrTb"/>
            <w:noWrap w:val="false"/>
          </w:tcPr>
          <w:p>
            <w:pPr>
              <w:jc w:val="center"/>
              <w:rPr>
                <w:rFonts w:ascii="宋体" w:hAnsi="宋体" w:eastAsia="宋体" w:cs="宋体"/>
                <w:sz w:val="28"/>
                <w:szCs w:val="28"/>
              </w:rPr>
            </w:pPr>
            <w:r>
              <w:rPr>
                <w:rFonts w:hint="eastAsia" w:ascii="仿宋" w:hAnsi="仿宋" w:eastAsia="仿宋" w:cs="Times New Roman"/>
                <w:b/>
                <w:bCs/>
                <w:sz w:val="28"/>
                <w:szCs w:val="28"/>
              </w:rPr>
              <w:t xml:space="preserve">评审因素细化和量化</w:t>
            </w:r>
            <w:r/>
          </w:p>
        </w:tc>
      </w:tr>
      <w:tr>
        <w:trPr>
          <w:jc w:val="center"/>
        </w:trPr>
        <w:tc>
          <w:tcPr>
            <w:tcW w:w="1405" w:type="dxa"/>
            <w:vAlign w:val="center"/>
            <w:textDirection w:val="lrTb"/>
            <w:noWrap w:val="false"/>
          </w:tcPr>
          <w:p>
            <w:pPr>
              <w:ind w:firstLine="200"/>
              <w:jc w:val="center"/>
              <w:spacing w:line="340" w:lineRule="exact"/>
              <w:rPr>
                <w:rFonts w:ascii="仿宋" w:hAnsi="仿宋" w:eastAsia="仿宋" w:cs="仿宋"/>
                <w:bCs/>
                <w:sz w:val="28"/>
                <w:szCs w:val="28"/>
              </w:rPr>
            </w:pPr>
            <w:r>
              <w:rPr>
                <w:rFonts w:hint="eastAsia" w:ascii="仿宋" w:hAnsi="仿宋" w:eastAsia="仿宋" w:cs="仿宋"/>
                <w:bCs/>
                <w:sz w:val="28"/>
                <w:szCs w:val="28"/>
              </w:rPr>
              <w:t xml:space="preserve">价格（30分）</w:t>
            </w:r>
            <w:r/>
          </w:p>
        </w:tc>
        <w:tc>
          <w:tcPr>
            <w:tcW w:w="8292" w:type="dxa"/>
            <w:vAlign w:val="center"/>
            <w:textDirection w:val="lrTb"/>
            <w:noWrap w:val="false"/>
          </w:tcPr>
          <w:p>
            <w:pPr>
              <w:rPr>
                <w:rFonts w:ascii="仿宋" w:hAnsi="仿宋" w:eastAsia="仿宋" w:cs="仿宋"/>
                <w:sz w:val="28"/>
                <w:szCs w:val="28"/>
              </w:rPr>
            </w:pPr>
            <w:r>
              <w:rPr>
                <w:rFonts w:ascii="仿宋" w:hAnsi="仿宋" w:eastAsia="仿宋" w:cs="仿宋"/>
                <w:sz w:val="28"/>
                <w:szCs w:val="28"/>
              </w:rPr>
              <w:t xml:space="preserve">价格分采用低价优先法计算，即满足招标文件要求且投标价格最低的投标报价为评标基准价，其价格分为满分30分。其他投标人的价格分按照下列公式计算：</w:t>
            </w:r>
            <w:r/>
          </w:p>
          <w:p>
            <w:pPr>
              <w:rPr>
                <w:rFonts w:ascii="仿宋" w:hAnsi="仿宋" w:eastAsia="仿宋" w:cs="仿宋"/>
                <w:bCs/>
                <w:sz w:val="28"/>
                <w:szCs w:val="28"/>
              </w:rPr>
            </w:pPr>
            <w:r>
              <w:rPr>
                <w:rFonts w:ascii="仿宋" w:hAnsi="仿宋" w:eastAsia="仿宋" w:cs="仿宋"/>
                <w:sz w:val="28"/>
                <w:szCs w:val="28"/>
              </w:rPr>
              <w:t xml:space="preserve">投标报价得分=（评标基准价／各投标人评审价格）×30（分值计算结果保留两位小数）。</w:t>
            </w:r>
            <w:r/>
          </w:p>
        </w:tc>
      </w:tr>
      <w:tr>
        <w:trPr>
          <w:jc w:val="center"/>
          <w:trHeight w:val="2873"/>
        </w:trPr>
        <w:tc>
          <w:tcPr>
            <w:tcW w:w="1405" w:type="dxa"/>
            <w:vAlign w:val="center"/>
            <w:textDirection w:val="lrTb"/>
            <w:noWrap w:val="false"/>
          </w:tcPr>
          <w:p>
            <w:pPr>
              <w:ind w:firstLine="200"/>
              <w:jc w:val="center"/>
              <w:spacing w:line="340" w:lineRule="exact"/>
              <w:rPr>
                <w:rFonts w:ascii="仿宋" w:hAnsi="仿宋" w:eastAsia="仿宋" w:cs="仿宋"/>
                <w:bCs/>
                <w:sz w:val="28"/>
                <w:szCs w:val="28"/>
              </w:rPr>
            </w:pPr>
            <w:r>
              <w:rPr>
                <w:rFonts w:hint="eastAsia" w:ascii="仿宋" w:hAnsi="仿宋" w:eastAsia="仿宋" w:cs="仿宋"/>
                <w:bCs/>
                <w:sz w:val="28"/>
                <w:szCs w:val="28"/>
              </w:rPr>
              <w:t xml:space="preserve">业绩(4分)</w:t>
            </w:r>
            <w:r/>
          </w:p>
        </w:tc>
        <w:tc>
          <w:tcPr>
            <w:tcW w:w="8292" w:type="dxa"/>
            <w:vAlign w:val="center"/>
            <w:textDirection w:val="lrTb"/>
            <w:noWrap w:val="false"/>
          </w:tcPr>
          <w:p>
            <w:pPr>
              <w:rPr>
                <w:rFonts w:ascii="仿宋" w:hAnsi="仿宋" w:eastAsia="仿宋" w:cs="仿宋"/>
                <w:sz w:val="28"/>
                <w:szCs w:val="28"/>
              </w:rPr>
            </w:pPr>
            <w:r>
              <w:rPr>
                <w:rFonts w:hint="eastAsia" w:ascii="仿宋" w:hAnsi="仿宋" w:eastAsia="仿宋" w:cs="仿宋"/>
                <w:sz w:val="28"/>
                <w:szCs w:val="28"/>
              </w:rPr>
              <w:t xml:space="preserve">投标文件中提供投标人自2022年</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月1日以来（时间以合同签订时间为准），合同内容为与本次采购项目相同或类似的合同，每项得2分，最高得4分。</w:t>
            </w:r>
            <w:r/>
          </w:p>
          <w:p>
            <w:pPr>
              <w:rPr>
                <w:rFonts w:ascii="仿宋" w:hAnsi="仿宋" w:eastAsia="仿宋" w:cs="仿宋"/>
                <w:sz w:val="28"/>
                <w:szCs w:val="28"/>
              </w:rPr>
            </w:pPr>
            <w:r>
              <w:rPr>
                <w:rFonts w:hint="eastAsia" w:ascii="仿宋" w:hAnsi="仿宋" w:eastAsia="仿宋" w:cs="仿宋"/>
                <w:sz w:val="28"/>
                <w:szCs w:val="28"/>
              </w:rPr>
              <w:t xml:space="preserve">注：投标文件中同时提供合同原件扫描件并加盖电子签章，业绩合同中主要内容、总金额等清晰可见，缺失主要页或提供内容模糊不清和不提供的得0分。</w:t>
            </w:r>
            <w:r/>
          </w:p>
        </w:tc>
      </w:tr>
      <w:tr>
        <w:trPr>
          <w:jc w:val="center"/>
          <w:trHeight w:val="2395"/>
        </w:trPr>
        <w:tc>
          <w:tcPr>
            <w:tcW w:w="1405" w:type="dxa"/>
            <w:vAlign w:val="center"/>
            <w:textDirection w:val="lrTb"/>
            <w:noWrap w:val="false"/>
          </w:tcPr>
          <w:p>
            <w:pPr>
              <w:ind w:firstLine="200"/>
              <w:jc w:val="center"/>
              <w:spacing w:line="340" w:lineRule="exact"/>
              <w:rPr>
                <w:rFonts w:ascii="仿宋" w:hAnsi="仿宋" w:eastAsia="仿宋" w:cs="仿宋"/>
                <w:bCs/>
                <w:sz w:val="28"/>
                <w:szCs w:val="28"/>
              </w:rPr>
            </w:pPr>
            <w:r>
              <w:rPr>
                <w:rFonts w:hint="eastAsia" w:ascii="仿宋" w:hAnsi="仿宋" w:eastAsia="仿宋" w:cs="仿宋"/>
                <w:bCs/>
                <w:sz w:val="28"/>
                <w:szCs w:val="28"/>
              </w:rPr>
              <w:t xml:space="preserve">所投产品的技术规格 (</w:t>
            </w:r>
            <w:r>
              <w:rPr>
                <w:rFonts w:hint="eastAsia" w:ascii="仿宋" w:hAnsi="仿宋" w:eastAsia="仿宋" w:cs="仿宋"/>
                <w:bCs/>
                <w:sz w:val="28"/>
                <w:szCs w:val="28"/>
                <w:lang w:val="en-US" w:eastAsia="zh-CN"/>
              </w:rPr>
              <w:t xml:space="preserve">24</w:t>
            </w:r>
            <w:r>
              <w:rPr>
                <w:rFonts w:hint="eastAsia" w:ascii="仿宋" w:hAnsi="仿宋" w:eastAsia="仿宋" w:cs="仿宋"/>
                <w:bCs/>
                <w:sz w:val="28"/>
                <w:szCs w:val="28"/>
              </w:rPr>
              <w:t xml:space="preserve">分)</w:t>
            </w:r>
            <w:r/>
          </w:p>
        </w:tc>
        <w:tc>
          <w:tcPr>
            <w:tcW w:w="8292" w:type="dxa"/>
            <w:vAlign w:val="center"/>
            <w:textDirection w:val="lrTb"/>
            <w:noWrap w:val="false"/>
          </w:tcPr>
          <w:p>
            <w:pPr>
              <w:rPr>
                <w:rFonts w:hint="eastAsia" w:ascii="仿宋" w:hAnsi="仿宋" w:eastAsia="仿宋" w:cs="仿宋"/>
                <w:sz w:val="28"/>
                <w:szCs w:val="28"/>
              </w:rPr>
            </w:pPr>
            <w:r/>
            <w:bookmarkStart w:id="1" w:name="OLE_LINK1"/>
            <w:r>
              <w:rPr>
                <w:rFonts w:hint="eastAsia" w:ascii="仿宋" w:hAnsi="仿宋" w:eastAsia="仿宋" w:cs="仿宋"/>
                <w:sz w:val="28"/>
                <w:szCs w:val="28"/>
              </w:rPr>
              <w:t xml:space="preserve">完全满足招标文件《 采购需求》中“技术规格要求”得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4分。招标文件《 采购需求》中“技术规格要求”中加“▲”项，每一项不满足或负偏离减</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分；非加“▲”项每一项不满足或负偏离减</w:t>
            </w:r>
            <w:r>
              <w:rPr>
                <w:rFonts w:hint="eastAsia" w:ascii="仿宋" w:hAnsi="仿宋" w:eastAsia="仿宋" w:cs="仿宋"/>
                <w:sz w:val="28"/>
                <w:szCs w:val="28"/>
                <w:lang w:val="en-US" w:eastAsia="zh-CN"/>
              </w:rPr>
              <w:t xml:space="preserve">0.5</w:t>
            </w:r>
            <w:r>
              <w:rPr>
                <w:rFonts w:hint="eastAsia" w:ascii="仿宋" w:hAnsi="仿宋" w:eastAsia="仿宋" w:cs="仿宋"/>
                <w:sz w:val="28"/>
                <w:szCs w:val="28"/>
              </w:rPr>
              <w:t xml:space="preserve">分，扣完为止，本项最低得0分。</w:t>
            </w:r>
            <w:bookmarkEnd w:id="1"/>
            <w:r/>
            <w:r/>
          </w:p>
          <w:p>
            <w:pPr>
              <w:rPr>
                <w:rFonts w:hint="eastAsia" w:ascii="仿宋" w:hAnsi="仿宋" w:eastAsia="仿宋" w:cs="仿宋"/>
                <w:b/>
                <w:bCs/>
                <w:sz w:val="28"/>
                <w:szCs w:val="28"/>
              </w:rPr>
            </w:pPr>
            <w:r>
              <w:rPr>
                <w:rFonts w:hint="eastAsia" w:ascii="仿宋" w:hAnsi="仿宋" w:eastAsia="仿宋" w:cs="仿宋"/>
                <w:b/>
                <w:bCs/>
                <w:sz w:val="28"/>
                <w:szCs w:val="28"/>
              </w:rPr>
              <w:t xml:space="preserve">投标人需详尽真实的提供投标产品的技术响应偏差表，具体由评标委员会根据技术要求细则，对各投标单位投标产品的技术响应情况进行打分，提供设备制造商的产品彩页或第三方检测报告等证明材料，并在投标文件技术响应偏差表中清楚标注每一证明材料对应项页码，以便评委审核，未提供或提供不符合招标文件技术要求的或未标注证明材料对应页码的，视为负偏离。</w:t>
            </w:r>
            <w:r/>
          </w:p>
          <w:p>
            <w:pPr>
              <w:rPr>
                <w:rFonts w:ascii="Times New Roman" w:hAnsi="Times New Roman" w:eastAsia="宋体" w:cs="Times New Roman"/>
                <w:sz w:val="28"/>
                <w:szCs w:val="28"/>
              </w:rPr>
            </w:pPr>
            <w:r>
              <w:rPr>
                <w:rFonts w:hint="eastAsia" w:ascii="仿宋" w:hAnsi="仿宋" w:eastAsia="仿宋" w:cs="仿宋"/>
                <w:b/>
                <w:bCs/>
                <w:sz w:val="28"/>
                <w:szCs w:val="28"/>
              </w:rPr>
              <w:t xml:space="preserve"> 注：以上须提供证明资料的原件扫描件加盖</w:t>
            </w:r>
            <w:r>
              <w:rPr>
                <w:rFonts w:hint="eastAsia" w:ascii="仿宋" w:hAnsi="仿宋" w:eastAsia="仿宋" w:cs="仿宋"/>
                <w:b/>
                <w:bCs/>
                <w:sz w:val="28"/>
                <w:szCs w:val="28"/>
                <w:lang w:val="en-US" w:eastAsia="zh-CN"/>
              </w:rPr>
              <w:t xml:space="preserve">投标人</w:t>
            </w:r>
            <w:r>
              <w:rPr>
                <w:rFonts w:hint="eastAsia" w:ascii="仿宋" w:hAnsi="仿宋" w:eastAsia="仿宋" w:cs="仿宋"/>
                <w:b/>
                <w:bCs/>
                <w:sz w:val="28"/>
                <w:szCs w:val="28"/>
              </w:rPr>
              <w:t xml:space="preserve">电子签章。</w:t>
            </w:r>
            <w:r/>
          </w:p>
        </w:tc>
      </w:tr>
      <w:tr>
        <w:trPr>
          <w:jc w:val="center"/>
          <w:trHeight w:val="813"/>
        </w:trPr>
        <w:tc>
          <w:tcPr>
            <w:tcW w:w="1405"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所投产品性能稳定性评价（</w:t>
            </w:r>
            <w:r>
              <w:rPr>
                <w:rFonts w:hint="eastAsia" w:ascii="仿宋" w:hAnsi="仿宋" w:eastAsia="仿宋" w:cs="仿宋"/>
                <w:bCs/>
                <w:sz w:val="28"/>
                <w:szCs w:val="28"/>
                <w:lang w:val="en-US" w:eastAsia="zh-CN"/>
              </w:rPr>
              <w:t xml:space="preserve">9</w:t>
            </w:r>
            <w:r>
              <w:rPr>
                <w:rFonts w:hint="eastAsia" w:ascii="仿宋" w:hAnsi="仿宋" w:eastAsia="仿宋" w:cs="仿宋"/>
                <w:bCs/>
                <w:sz w:val="28"/>
                <w:szCs w:val="28"/>
              </w:rPr>
              <w:t xml:space="preserve">分）</w:t>
            </w:r>
            <w:r/>
          </w:p>
        </w:tc>
        <w:tc>
          <w:tcPr>
            <w:tcW w:w="8292"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根据投标人投标文件中提供的偏离表内容以及所投产品的产品手册、产品实样照片、配置清单等，对产品性能稳定性、配置合理性等方面进行评价。</w:t>
            </w:r>
            <w:r/>
          </w:p>
          <w:p>
            <w:pPr>
              <w:rPr>
                <w:rFonts w:ascii="仿宋" w:hAnsi="仿宋" w:eastAsia="仿宋" w:cs="仿宋"/>
                <w:bCs/>
                <w:sz w:val="28"/>
                <w:szCs w:val="28"/>
              </w:rPr>
            </w:pPr>
            <w:r>
              <w:rPr>
                <w:rFonts w:hint="eastAsia" w:ascii="仿宋" w:hAnsi="仿宋" w:eastAsia="仿宋" w:cs="仿宋"/>
                <w:bCs/>
                <w:sz w:val="28"/>
                <w:szCs w:val="28"/>
              </w:rPr>
              <w:t xml:space="preserve">性能稳定性高、配置合理的得</w:t>
            </w:r>
            <w:r>
              <w:rPr>
                <w:rFonts w:hint="eastAsia" w:ascii="仿宋" w:hAnsi="仿宋" w:eastAsia="仿宋" w:cs="仿宋"/>
                <w:bCs/>
                <w:sz w:val="28"/>
                <w:szCs w:val="28"/>
                <w:lang w:val="en-US" w:eastAsia="zh-CN"/>
              </w:rPr>
              <w:t xml:space="preserve">7</w:t>
            </w:r>
            <w:r>
              <w:rPr>
                <w:rFonts w:hint="eastAsia" w:ascii="仿宋" w:hAnsi="仿宋" w:eastAsia="仿宋" w:cs="仿宋"/>
                <w:bCs/>
                <w:sz w:val="28"/>
                <w:szCs w:val="28"/>
              </w:rPr>
              <w:t xml:space="preserve">分；性能稳定性较高、配置较合理的得</w:t>
            </w: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rPr>
              <w:t xml:space="preserve">分；性能稳定性和配置一般的得3分；性能稳定性和配置较差的得1分；未提供的得0分。</w:t>
            </w:r>
            <w:r/>
          </w:p>
        </w:tc>
      </w:tr>
      <w:tr>
        <w:trPr>
          <w:jc w:val="center"/>
          <w:trHeight w:val="813"/>
        </w:trPr>
        <w:tc>
          <w:tcPr>
            <w:tcW w:w="1405"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所投产品质量可靠性评价（</w:t>
            </w:r>
            <w:r>
              <w:rPr>
                <w:rFonts w:hint="eastAsia" w:ascii="仿宋" w:hAnsi="仿宋" w:eastAsia="仿宋" w:cs="仿宋"/>
                <w:bCs/>
                <w:sz w:val="28"/>
                <w:szCs w:val="28"/>
                <w:lang w:val="en-US" w:eastAsia="zh-CN"/>
              </w:rPr>
              <w:t xml:space="preserve">9</w:t>
            </w:r>
            <w:r>
              <w:rPr>
                <w:rFonts w:hint="eastAsia" w:ascii="仿宋" w:hAnsi="仿宋" w:eastAsia="仿宋" w:cs="仿宋"/>
                <w:bCs/>
                <w:sz w:val="28"/>
                <w:szCs w:val="28"/>
              </w:rPr>
              <w:t xml:space="preserve">分）</w:t>
            </w:r>
            <w:r/>
          </w:p>
        </w:tc>
        <w:tc>
          <w:tcPr>
            <w:tcW w:w="8292"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根据投标人投标文件中提供的偏离表内容以及所投产品的产品手册、产品实样照片、配置清单等，对产品质量可靠性方面进行评价。</w:t>
            </w:r>
            <w:r/>
          </w:p>
          <w:p>
            <w:pPr>
              <w:pStyle w:val="781"/>
            </w:pPr>
            <w:r>
              <w:rPr>
                <w:rFonts w:hint="eastAsia" w:ascii="仿宋" w:hAnsi="仿宋" w:eastAsia="仿宋" w:cs="仿宋"/>
                <w:bCs/>
                <w:sz w:val="28"/>
                <w:szCs w:val="28"/>
              </w:rPr>
              <w:t xml:space="preserve">质量可靠性高的得</w:t>
            </w:r>
            <w:r>
              <w:rPr>
                <w:rFonts w:hint="eastAsia" w:ascii="仿宋" w:hAnsi="仿宋" w:eastAsia="仿宋" w:cs="仿宋"/>
                <w:bCs/>
                <w:sz w:val="28"/>
                <w:szCs w:val="28"/>
                <w:lang w:val="en-US" w:eastAsia="zh-CN"/>
              </w:rPr>
              <w:t xml:space="preserve">7</w:t>
            </w:r>
            <w:r>
              <w:rPr>
                <w:rFonts w:hint="eastAsia" w:ascii="仿宋" w:hAnsi="仿宋" w:eastAsia="仿宋" w:cs="仿宋"/>
                <w:bCs/>
                <w:sz w:val="28"/>
                <w:szCs w:val="28"/>
              </w:rPr>
              <w:t xml:space="preserve">分；产品质量可靠性较高的得</w:t>
            </w: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rPr>
              <w:t xml:space="preserve">分；质量可靠性程度一般的得3分；质量可靠性程度较差的得1分；未提供的得0分。</w:t>
            </w:r>
            <w:r/>
          </w:p>
        </w:tc>
      </w:tr>
      <w:tr>
        <w:trPr>
          <w:jc w:val="center"/>
          <w:trHeight w:val="813"/>
        </w:trPr>
        <w:tc>
          <w:tcPr>
            <w:tcW w:w="1405"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所投产品技术先进性评价（</w:t>
            </w:r>
            <w:r>
              <w:rPr>
                <w:rFonts w:hint="eastAsia" w:ascii="仿宋" w:hAnsi="仿宋" w:eastAsia="仿宋" w:cs="仿宋"/>
                <w:bCs/>
                <w:sz w:val="28"/>
                <w:szCs w:val="28"/>
                <w:lang w:val="en-US" w:eastAsia="zh-CN"/>
              </w:rPr>
              <w:t xml:space="preserve">9</w:t>
            </w:r>
            <w:r>
              <w:rPr>
                <w:rFonts w:hint="eastAsia" w:ascii="仿宋" w:hAnsi="仿宋" w:eastAsia="仿宋" w:cs="仿宋"/>
                <w:bCs/>
                <w:sz w:val="28"/>
                <w:szCs w:val="28"/>
              </w:rPr>
              <w:t xml:space="preserve">分）</w:t>
            </w:r>
            <w:r/>
          </w:p>
        </w:tc>
        <w:tc>
          <w:tcPr>
            <w:tcW w:w="8292"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根据投标人投标文件中提供的偏离表内容以及所投产品的产品手册、产品实样照片、配置清单等，对产品技术先进性方面进行评价。</w:t>
            </w:r>
            <w:r/>
          </w:p>
          <w:p>
            <w:pPr>
              <w:rPr>
                <w:rFonts w:ascii="仿宋" w:hAnsi="仿宋" w:eastAsia="仿宋" w:cs="仿宋"/>
                <w:bCs/>
                <w:sz w:val="28"/>
                <w:szCs w:val="28"/>
              </w:rPr>
            </w:pPr>
            <w:r>
              <w:rPr>
                <w:rFonts w:hint="eastAsia" w:ascii="仿宋" w:hAnsi="仿宋" w:eastAsia="仿宋" w:cs="仿宋"/>
                <w:bCs/>
                <w:sz w:val="28"/>
                <w:szCs w:val="28"/>
              </w:rPr>
              <w:t xml:space="preserve">技术先进的得</w:t>
            </w:r>
            <w:r>
              <w:rPr>
                <w:rFonts w:hint="eastAsia" w:ascii="仿宋" w:hAnsi="仿宋" w:eastAsia="仿宋" w:cs="仿宋"/>
                <w:bCs/>
                <w:sz w:val="28"/>
                <w:szCs w:val="28"/>
                <w:lang w:val="en-US" w:eastAsia="zh-CN"/>
              </w:rPr>
              <w:t xml:space="preserve">7</w:t>
            </w:r>
            <w:r>
              <w:rPr>
                <w:rFonts w:hint="eastAsia" w:ascii="仿宋" w:hAnsi="仿宋" w:eastAsia="仿宋" w:cs="仿宋"/>
                <w:bCs/>
                <w:sz w:val="28"/>
                <w:szCs w:val="28"/>
              </w:rPr>
              <w:t xml:space="preserve">分；技术</w:t>
            </w:r>
            <w:r>
              <w:rPr>
                <w:rFonts w:hint="eastAsia" w:ascii="仿宋" w:hAnsi="仿宋" w:eastAsia="仿宋" w:cs="仿宋"/>
                <w:bCs/>
                <w:sz w:val="28"/>
                <w:szCs w:val="28"/>
                <w:lang w:val="en-US" w:eastAsia="zh-CN"/>
              </w:rPr>
              <w:t xml:space="preserve">较先进</w:t>
            </w:r>
            <w:r>
              <w:rPr>
                <w:rFonts w:hint="eastAsia" w:ascii="仿宋" w:hAnsi="仿宋" w:eastAsia="仿宋" w:cs="仿宋"/>
                <w:bCs/>
                <w:sz w:val="28"/>
                <w:szCs w:val="28"/>
              </w:rPr>
              <w:t xml:space="preserve">的得</w:t>
            </w: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rPr>
              <w:t xml:space="preserve">分；技术先进</w:t>
            </w:r>
            <w:r>
              <w:rPr>
                <w:rFonts w:hint="eastAsia" w:ascii="仿宋" w:hAnsi="仿宋" w:eastAsia="仿宋" w:cs="仿宋"/>
                <w:bCs/>
                <w:sz w:val="28"/>
                <w:szCs w:val="28"/>
                <w:lang w:val="en-US" w:eastAsia="zh-CN"/>
              </w:rPr>
              <w:t xml:space="preserve">性一般</w:t>
            </w:r>
            <w:r>
              <w:rPr>
                <w:rFonts w:hint="eastAsia" w:ascii="仿宋" w:hAnsi="仿宋" w:eastAsia="仿宋" w:cs="仿宋"/>
                <w:bCs/>
                <w:sz w:val="28"/>
                <w:szCs w:val="28"/>
              </w:rPr>
              <w:t xml:space="preserve">的得</w:t>
            </w: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分；技术较落后的得1分；未提供的得0分。</w:t>
            </w:r>
            <w:r/>
          </w:p>
        </w:tc>
      </w:tr>
      <w:tr>
        <w:trPr>
          <w:jc w:val="center"/>
          <w:trHeight w:val="461"/>
        </w:trPr>
        <w:tc>
          <w:tcPr>
            <w:tcW w:w="1405" w:type="dxa"/>
            <w:vAlign w:val="center"/>
            <w:textDirection w:val="lrTb"/>
            <w:noWrap w:val="false"/>
          </w:tcPr>
          <w:p>
            <w:pPr>
              <w:jc w:val="center"/>
              <w:spacing w:line="340" w:lineRule="exact"/>
              <w:rPr>
                <w:rFonts w:ascii="仿宋" w:hAnsi="仿宋" w:eastAsia="仿宋" w:cs="仿宋"/>
                <w:bCs/>
                <w:sz w:val="28"/>
                <w:szCs w:val="28"/>
              </w:rPr>
            </w:pPr>
            <w:r>
              <w:rPr>
                <w:rFonts w:hint="eastAsia" w:ascii="仿宋" w:hAnsi="仿宋" w:eastAsia="仿宋" w:cs="仿宋"/>
                <w:bCs/>
                <w:sz w:val="28"/>
                <w:szCs w:val="28"/>
              </w:rPr>
              <w:t xml:space="preserve">项目实施方案（</w:t>
            </w: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rPr>
              <w:t xml:space="preserve">分）</w:t>
            </w:r>
            <w:r/>
          </w:p>
        </w:tc>
        <w:tc>
          <w:tcPr>
            <w:tcW w:w="8292"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根据投标人投标文件中提供的项目实施方案，内容包含但不限于质量保障措施、实施人员配备、配送计划、实施组织计划、进度计划、安装调试等，对内容的全面性、针对性、可行性进行评价。</w:t>
            </w:r>
            <w:r/>
          </w:p>
          <w:p>
            <w:pPr>
              <w:rPr>
                <w:rFonts w:ascii="仿宋" w:hAnsi="仿宋" w:eastAsia="仿宋" w:cs="仿宋"/>
                <w:bCs/>
                <w:sz w:val="28"/>
                <w:szCs w:val="28"/>
              </w:rPr>
            </w:pPr>
            <w:r>
              <w:rPr>
                <w:rFonts w:hint="eastAsia" w:ascii="仿宋" w:hAnsi="仿宋" w:eastAsia="仿宋" w:cs="仿宋"/>
                <w:bCs/>
                <w:sz w:val="28"/>
                <w:szCs w:val="28"/>
              </w:rPr>
              <w:t xml:space="preserve">全面性（</w:t>
            </w: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分）：全面具体详实得</w:t>
            </w: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分；较全面得</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分；不太全面得</w:t>
            </w: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rPr>
              <w:t xml:space="preserve">分。</w:t>
            </w:r>
            <w:r/>
          </w:p>
          <w:p>
            <w:pPr>
              <w:rPr>
                <w:rFonts w:ascii="仿宋" w:hAnsi="仿宋" w:eastAsia="仿宋" w:cs="仿宋"/>
                <w:bCs/>
                <w:sz w:val="28"/>
                <w:szCs w:val="28"/>
              </w:rPr>
            </w:pPr>
            <w:r>
              <w:rPr>
                <w:rFonts w:hint="eastAsia" w:ascii="仿宋" w:hAnsi="仿宋" w:eastAsia="仿宋" w:cs="仿宋"/>
                <w:bCs/>
                <w:sz w:val="28"/>
                <w:szCs w:val="28"/>
              </w:rPr>
              <w:t xml:space="preserve">针对性(</w:t>
            </w: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分)：针对性强得</w:t>
            </w: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分；针对性较强得</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分；针对性不强得</w:t>
            </w: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rPr>
              <w:t xml:space="preserve">分。</w:t>
            </w:r>
            <w:r/>
          </w:p>
          <w:p>
            <w:pPr>
              <w:rPr>
                <w:rFonts w:ascii="仿宋" w:hAnsi="仿宋" w:eastAsia="仿宋" w:cs="仿宋"/>
                <w:bCs/>
                <w:sz w:val="28"/>
                <w:szCs w:val="28"/>
              </w:rPr>
            </w:pPr>
            <w:r>
              <w:rPr>
                <w:rFonts w:hint="eastAsia" w:ascii="仿宋" w:hAnsi="仿宋" w:eastAsia="仿宋" w:cs="仿宋"/>
                <w:bCs/>
                <w:sz w:val="28"/>
                <w:szCs w:val="28"/>
              </w:rPr>
              <w:t xml:space="preserve">可行性（2分)：符合实际切实可行得2分；较切实可行得1分;可行性欠缺得0.5分；</w:t>
            </w:r>
            <w:r/>
          </w:p>
          <w:p>
            <w:pPr>
              <w:rPr>
                <w:rFonts w:ascii="仿宋" w:hAnsi="仿宋" w:eastAsia="仿宋" w:cs="仿宋"/>
                <w:bCs/>
                <w:sz w:val="28"/>
                <w:szCs w:val="28"/>
              </w:rPr>
            </w:pPr>
            <w:r>
              <w:rPr>
                <w:rFonts w:hint="eastAsia" w:ascii="仿宋" w:hAnsi="仿宋" w:eastAsia="仿宋" w:cs="仿宋"/>
                <w:bCs/>
                <w:sz w:val="28"/>
                <w:szCs w:val="28"/>
              </w:rPr>
              <w:t xml:space="preserve">未提供不得分，本项最高得</w:t>
            </w: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rPr>
              <w:t xml:space="preserve">分，最低得0分。</w:t>
            </w:r>
            <w:r/>
          </w:p>
        </w:tc>
      </w:tr>
      <w:tr>
        <w:trPr>
          <w:jc w:val="center"/>
          <w:trHeight w:val="2629"/>
        </w:trPr>
        <w:tc>
          <w:tcPr>
            <w:tcW w:w="1405" w:type="dxa"/>
            <w:vAlign w:val="center"/>
            <w:vMerge w:val="restart"/>
            <w:textDirection w:val="lrTb"/>
            <w:noWrap w:val="false"/>
          </w:tcPr>
          <w:p>
            <w:pPr>
              <w:jc w:val="center"/>
              <w:spacing w:line="340" w:lineRule="exact"/>
              <w:rPr>
                <w:rFonts w:ascii="仿宋" w:hAnsi="仿宋" w:eastAsia="仿宋" w:cs="仿宋"/>
                <w:bCs/>
                <w:sz w:val="28"/>
                <w:szCs w:val="28"/>
              </w:rPr>
            </w:pPr>
            <w:r>
              <w:rPr>
                <w:rFonts w:hint="eastAsia" w:ascii="仿宋" w:hAnsi="仿宋" w:eastAsia="仿宋" w:cs="仿宋"/>
                <w:bCs/>
                <w:sz w:val="28"/>
                <w:szCs w:val="28"/>
              </w:rPr>
              <w:t xml:space="preserve">售后服务方案（</w:t>
            </w:r>
            <w:r>
              <w:rPr>
                <w:rFonts w:hint="eastAsia" w:ascii="仿宋" w:hAnsi="仿宋" w:eastAsia="仿宋" w:cs="仿宋"/>
                <w:bCs/>
                <w:sz w:val="28"/>
                <w:szCs w:val="28"/>
                <w:lang w:val="en-US" w:eastAsia="zh-CN"/>
              </w:rPr>
              <w:t xml:space="preserve">7</w:t>
            </w:r>
            <w:r>
              <w:rPr>
                <w:rFonts w:hint="eastAsia" w:ascii="仿宋" w:hAnsi="仿宋" w:eastAsia="仿宋" w:cs="仿宋"/>
                <w:bCs/>
                <w:sz w:val="28"/>
                <w:szCs w:val="28"/>
              </w:rPr>
              <w:t xml:space="preserve">分）</w:t>
            </w:r>
            <w:r/>
          </w:p>
        </w:tc>
        <w:tc>
          <w:tcPr>
            <w:tcW w:w="8292"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1、依据投标文件中的售后服务方案（包含但不限于售后服务体系、售后服务组织及技术保障措施、响应时间的迅速、售后服务所包含内容的优惠性程度、备品备件供应方案等），从内容的全面性、针对性、可行性进行评价。（</w:t>
            </w: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rPr>
              <w:t xml:space="preserve">分）：</w:t>
            </w:r>
            <w:r/>
          </w:p>
          <w:p>
            <w:pPr>
              <w:rPr>
                <w:rFonts w:ascii="仿宋" w:hAnsi="仿宋" w:eastAsia="仿宋" w:cs="仿宋"/>
                <w:bCs/>
                <w:sz w:val="28"/>
                <w:szCs w:val="28"/>
              </w:rPr>
            </w:pPr>
            <w:r>
              <w:rPr>
                <w:rFonts w:hint="eastAsia" w:ascii="仿宋" w:hAnsi="仿宋" w:eastAsia="仿宋" w:cs="仿宋"/>
                <w:bCs/>
                <w:sz w:val="28"/>
                <w:szCs w:val="28"/>
              </w:rPr>
              <w:t xml:space="preserve">对内容的全面性、针对性、可行性进行评价。</w:t>
            </w:r>
            <w:r/>
          </w:p>
          <w:p>
            <w:pPr>
              <w:rPr>
                <w:rFonts w:ascii="仿宋" w:hAnsi="仿宋" w:eastAsia="仿宋" w:cs="仿宋"/>
                <w:bCs/>
                <w:sz w:val="28"/>
                <w:szCs w:val="28"/>
              </w:rPr>
            </w:pPr>
            <w:r>
              <w:rPr>
                <w:rFonts w:hint="eastAsia" w:ascii="仿宋" w:hAnsi="仿宋" w:eastAsia="仿宋" w:cs="仿宋"/>
                <w:bCs/>
                <w:sz w:val="28"/>
                <w:szCs w:val="28"/>
              </w:rPr>
              <w:t xml:space="preserve">全面性（</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分）：全面具体详实得</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分，不太全面得</w:t>
            </w: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rPr>
              <w:t xml:space="preserve">分。</w:t>
            </w:r>
            <w:r/>
          </w:p>
          <w:p>
            <w:pPr>
              <w:rPr>
                <w:rFonts w:ascii="仿宋" w:hAnsi="仿宋" w:eastAsia="仿宋" w:cs="仿宋"/>
                <w:bCs/>
                <w:sz w:val="28"/>
                <w:szCs w:val="28"/>
              </w:rPr>
            </w:pPr>
            <w:r>
              <w:rPr>
                <w:rFonts w:hint="eastAsia" w:ascii="仿宋" w:hAnsi="仿宋" w:eastAsia="仿宋" w:cs="仿宋"/>
                <w:bCs/>
                <w:sz w:val="28"/>
                <w:szCs w:val="28"/>
              </w:rPr>
              <w:t xml:space="preserve">针对性(</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分)：针对性强得</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分，针对性不强得</w:t>
            </w: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rPr>
              <w:t xml:space="preserve">分。</w:t>
            </w:r>
            <w:r/>
          </w:p>
          <w:p>
            <w:pPr>
              <w:rPr>
                <w:rFonts w:ascii="仿宋" w:hAnsi="仿宋" w:eastAsia="仿宋" w:cs="仿宋"/>
                <w:bCs/>
                <w:sz w:val="28"/>
                <w:szCs w:val="28"/>
              </w:rPr>
            </w:pPr>
            <w:r>
              <w:rPr>
                <w:rFonts w:hint="eastAsia" w:ascii="仿宋" w:hAnsi="仿宋" w:eastAsia="仿宋" w:cs="仿宋"/>
                <w:bCs/>
                <w:sz w:val="28"/>
                <w:szCs w:val="28"/>
              </w:rPr>
              <w:t xml:space="preserve">可行性（1分)：符合实际切实可行得1分，可行性欠缺得0.5分；</w:t>
            </w:r>
            <w:r/>
          </w:p>
          <w:p>
            <w:pPr>
              <w:rPr>
                <w:rFonts w:ascii="仿宋" w:hAnsi="仿宋" w:eastAsia="仿宋" w:cs="仿宋"/>
                <w:bCs/>
                <w:sz w:val="28"/>
                <w:szCs w:val="28"/>
              </w:rPr>
            </w:pPr>
            <w:r>
              <w:rPr>
                <w:rFonts w:hint="eastAsia" w:ascii="仿宋" w:hAnsi="仿宋" w:eastAsia="仿宋" w:cs="仿宋"/>
                <w:bCs/>
                <w:sz w:val="28"/>
                <w:szCs w:val="28"/>
              </w:rPr>
              <w:t xml:space="preserve">未提供不得分，本项最高得</w:t>
            </w: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rPr>
              <w:t xml:space="preserve">分，最低得0分。</w:t>
            </w:r>
            <w:r/>
          </w:p>
        </w:tc>
      </w:tr>
      <w:tr>
        <w:trPr>
          <w:jc w:val="center"/>
          <w:trHeight w:val="461"/>
        </w:trPr>
        <w:tc>
          <w:tcPr>
            <w:tcW w:w="1405" w:type="dxa"/>
            <w:vAlign w:val="center"/>
            <w:vMerge w:val="continue"/>
            <w:textDirection w:val="lrTb"/>
            <w:noWrap w:val="false"/>
          </w:tcPr>
          <w:p>
            <w:pPr>
              <w:jc w:val="center"/>
              <w:spacing w:line="340" w:lineRule="exact"/>
              <w:rPr>
                <w:rFonts w:ascii="仿宋" w:hAnsi="仿宋" w:eastAsia="仿宋" w:cs="仿宋"/>
                <w:bCs/>
                <w:sz w:val="28"/>
                <w:szCs w:val="28"/>
              </w:rPr>
            </w:pPr>
            <w:r>
              <w:rPr>
                <w:rFonts w:ascii="仿宋" w:hAnsi="仿宋" w:eastAsia="仿宋" w:cs="仿宋"/>
                <w:bCs/>
                <w:sz w:val="28"/>
                <w:szCs w:val="28"/>
              </w:rPr>
            </w:r>
            <w:r/>
          </w:p>
        </w:tc>
        <w:tc>
          <w:tcPr>
            <w:tcW w:w="8292"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2、在满足招标文件质保期要求（3年）的基础上，每免费延长一年质保的得1分，本项最高得2分。</w:t>
            </w:r>
            <w:r/>
          </w:p>
          <w:p>
            <w:pPr>
              <w:rPr>
                <w:rFonts w:ascii="仿宋" w:hAnsi="仿宋" w:eastAsia="仿宋" w:cs="仿宋"/>
                <w:bCs/>
                <w:sz w:val="28"/>
                <w:szCs w:val="28"/>
              </w:rPr>
            </w:pPr>
            <w:r>
              <w:rPr>
                <w:rFonts w:hint="eastAsia" w:ascii="仿宋" w:hAnsi="仿宋" w:eastAsia="仿宋" w:cs="仿宋"/>
                <w:bCs/>
                <w:sz w:val="28"/>
                <w:szCs w:val="28"/>
              </w:rPr>
              <w:t xml:space="preserve">投标文件中提供承诺函并加盖电子签章，否则不得分。</w:t>
            </w:r>
            <w:r/>
          </w:p>
        </w:tc>
      </w:tr>
    </w:tbl>
    <w:p>
      <w:pPr>
        <w:spacing w:line="360" w:lineRule="auto"/>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spacing w:line="360" w:lineRule="auto"/>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本章说明：</w:t>
      </w:r>
      <w:r/>
    </w:p>
    <w:p>
      <w:pPr>
        <w:ind w:firstLine="560"/>
        <w:spacing w:line="360" w:lineRule="auto"/>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（一）本项目采用综合评分法。</w:t>
      </w:r>
      <w:r/>
    </w:p>
    <w:p>
      <w:pPr>
        <w:ind w:firstLine="560"/>
        <w:spacing w:line="360" w:lineRule="auto"/>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二）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widowControl/>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600"/>
        <w:jc w:val="center"/>
        <w:pageBreakBefore/>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第五章  拟签订的合同文本</w:t>
      </w:r>
      <w:r/>
    </w:p>
    <w:p>
      <w:pPr>
        <w:pStyle w:val="789"/>
        <w:ind w:firstLine="600"/>
        <w:rPr>
          <w:rFonts w:ascii="仿宋" w:hAnsi="仿宋" w:eastAsia="仿宋"/>
          <w:color w:val="auto"/>
          <w:sz w:val="30"/>
          <w:szCs w:val="30"/>
          <w:highlight w:val="none"/>
        </w:rPr>
      </w:pPr>
      <w:r>
        <w:rPr>
          <w:rFonts w:ascii="仿宋" w:hAnsi="仿宋" w:eastAsia="仿宋"/>
          <w:color w:val="auto"/>
          <w:sz w:val="30"/>
          <w:szCs w:val="30"/>
          <w:highlight w:val="none"/>
        </w:rPr>
      </w:r>
      <w:r/>
    </w:p>
    <w:p>
      <w:pPr>
        <w:jc w:val="center"/>
        <w:rPr>
          <w:rFonts w:ascii="仿宋" w:hAnsi="仿宋" w:eastAsia="仿宋" w:cs="仿宋"/>
          <w:b/>
          <w:color w:val="auto"/>
          <w:sz w:val="72"/>
          <w:szCs w:val="72"/>
          <w:highlight w:val="none"/>
        </w:rPr>
      </w:pPr>
      <w:r>
        <w:rPr>
          <w:rFonts w:ascii="仿宋" w:hAnsi="仿宋" w:eastAsia="仿宋" w:cs="仿宋"/>
          <w:b/>
          <w:color w:val="auto"/>
          <w:sz w:val="72"/>
          <w:szCs w:val="72"/>
          <w:highlight w:val="none"/>
        </w:rPr>
      </w:r>
      <w:r/>
    </w:p>
    <w:p>
      <w:pPr>
        <w:jc w:val="center"/>
        <w:rPr>
          <w:rFonts w:ascii="仿宋" w:hAnsi="仿宋" w:eastAsia="仿宋" w:cs="仿宋"/>
          <w:b/>
          <w:color w:val="auto"/>
          <w:sz w:val="36"/>
          <w:szCs w:val="36"/>
          <w:highlight w:val="none"/>
        </w:rPr>
      </w:pPr>
      <w:r>
        <w:rPr>
          <w:rFonts w:hint="eastAsia" w:ascii="仿宋" w:hAnsi="仿宋" w:eastAsia="仿宋" w:cs="仿宋"/>
          <w:b/>
          <w:color w:val="auto"/>
          <w:sz w:val="72"/>
          <w:szCs w:val="72"/>
          <w:highlight w:val="none"/>
        </w:rPr>
        <w:t xml:space="preserve">政 府 采 购 合 同</w:t>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项目编号：</w:t>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项目名称：</w:t>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采购包：</w:t>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采购单位（甲方）：</w:t>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中标供应商（乙方）：</w:t>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签订日期：    年   月   日</w:t>
      </w:r>
      <w:r/>
    </w:p>
    <w:p>
      <w:pPr>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980"/>
        <w:ind w:left="0" w:right="0"/>
        <w:spacing w:after="0"/>
        <w:rPr>
          <w:rFonts w:ascii="仿宋" w:hAnsi="仿宋" w:eastAsia="仿宋" w:cs="仿宋"/>
          <w:b/>
          <w:color w:val="auto"/>
          <w:sz w:val="24"/>
          <w:highlight w:val="none"/>
        </w:rPr>
      </w:pPr>
      <w:r>
        <w:rPr>
          <w:rFonts w:ascii="仿宋" w:hAnsi="仿宋" w:eastAsia="仿宋" w:cs="仿宋"/>
          <w:b/>
          <w:color w:val="auto"/>
          <w:sz w:val="24"/>
          <w:highlight w:val="none"/>
        </w:rPr>
      </w:r>
      <w:r/>
    </w:p>
    <w:p>
      <w:pPr>
        <w:pStyle w:val="980"/>
        <w:ind w:left="0" w:right="0"/>
        <w:spacing w:after="0" w:line="360" w:lineRule="auto"/>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友情提醒：采购人与中标、成交供应商应当在中标通知书发出之日起三十日内，按照采购文件确定的事项签订政府采购合同。</w:t>
      </w:r>
      <w:r/>
    </w:p>
    <w:p>
      <w:pPr>
        <w:pStyle w:val="980"/>
        <w:ind w:left="0" w:right="0"/>
        <w:spacing w:after="0" w:line="360" w:lineRule="auto"/>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color w:val="auto"/>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color w:val="auto"/>
          <w:highlight w:val="none"/>
        </w:rPr>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合同通用条款</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目录</w:t>
      </w:r>
      <w:r/>
    </w:p>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第一条    定义</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第二条    合同范围</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第三条    价格</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第四条    支付</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第五条    交货</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第六条    包装和标记</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第七条    技术资料</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第八条    安装</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第九条    验收</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第十条    售后服务和技术培训</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第十一条  索赔</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第十二条  不可抗力</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第十三条  合同的终止</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第十四条  争议的解决</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第十五条  适用法律</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第十六条  权利保证</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第十七条  保密</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第十八条  合同生效及其他</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781"/>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781"/>
        <w:rPr>
          <w:rFonts w:ascii="仿宋" w:hAnsi="仿宋" w:eastAsia="仿宋" w:cs="仿宋"/>
          <w:color w:val="auto"/>
          <w:sz w:val="24"/>
          <w:highlight w:val="none"/>
        </w:rPr>
      </w:pPr>
      <w:r>
        <w:rPr>
          <w:rFonts w:ascii="仿宋" w:hAnsi="仿宋" w:eastAsia="仿宋" w:cs="仿宋"/>
          <w:color w:val="auto"/>
          <w:sz w:val="24"/>
          <w:highlight w:val="none"/>
        </w:rPr>
      </w:r>
      <w:r/>
    </w:p>
    <w:p>
      <w:r/>
      <w:r/>
    </w:p>
    <w:p>
      <w:pPr>
        <w:ind w:firstLine="64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合同通用条款</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第一条  定义</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除本合同上下文中另有规定外，下列各词语定义如下： </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1.1“买方”见《合同专用条款》。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1.2“卖方”见《合同专用条款》。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1.3“工作现场”见《合同专用条款》。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1.4“合同标的”见合同附件4。</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1.5“技术资料”是指与合同标的的安装、试运行、验收、操作以及维修有关的技术指标、规格、图纸和文件。</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1.6“技术培训”是指在合同标的的安装、试运行、验收、操作、维修以及其他方面卖方给予买方的培训。</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1.7“安装”是指有关合同标的、备件和材料的安装工作。</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1.8“试运行”是指为验明合同标的的技术性能，在安装完毕后对合同标的进行的测试。</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1.10“合同货币”见《合同专用条款》。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1.11“合同价格”见合同附件4。</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1.12“合同生效日”见《合同协议书》（合同附件1）第5 条。</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1.13“日”是指日历天数。</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1.14“月”是指日历月数。</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1.15“采购需求” 见合同附件6。</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第二条 合同范围</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2.1买方同意从卖方购买、卖方同意向买方出售和提供的合同标的以及相关售后服务、技术培训和技术资料。</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2.2数量：见招标文件第六章《采购需求》中“三、数量要求”。</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第三条 价格</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 合同总价见《合同专用条款》。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 合同总价是固定价格。</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第四条 支付（采购资金的支付方式、时间、条件）</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4.1买方应按照《合同专用条款》的规定进行支付。如果卖方未能按照《合同专用条款》的要求提交支付文件，由此产生的所有责任和发生的所有费用，均由卖方承担。</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4.2卖方有义务根据合同的规定向买方支付违约金和/或赔偿金时，买方有权从任何一笔应付款中予以扣除。</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第五条 交货（货物、服务提供的时间、地点、方式）</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5.1交货期限、批次和交货条件见《合同专用条款》。</w:t>
      </w:r>
      <w:r/>
    </w:p>
    <w:p>
      <w:pPr>
        <w:ind w:firstLine="560"/>
        <w:spacing w:line="360" w:lineRule="auto"/>
        <w:rPr>
          <w:rFonts w:ascii="仿宋" w:hAnsi="仿宋" w:eastAsia="仿宋" w:cs="仿宋"/>
          <w:strike/>
          <w:color w:val="auto"/>
          <w:sz w:val="28"/>
          <w:szCs w:val="28"/>
          <w:highlight w:val="none"/>
        </w:rPr>
      </w:pPr>
      <w:r>
        <w:rPr>
          <w:rFonts w:hint="eastAsia" w:ascii="仿宋" w:hAnsi="仿宋" w:eastAsia="仿宋" w:cs="仿宋"/>
          <w:color w:val="auto"/>
          <w:sz w:val="28"/>
          <w:szCs w:val="28"/>
          <w:highlight w:val="none"/>
        </w:rPr>
        <w:t xml:space="preserve">5.2交货地点见《合同专用条款》。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5.3在《合同专用条款》规定的期限内，卖方应将合同号、合同标的的名称、数量、金额、包装件数以及交货的时间以书面方式通知买方。</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5.4卖方应按下列规定交付合同标的：</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5.4.1卖方负责将合同标的送至《合同专用条款》规定的交货地点。</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5.4.2买方出具的收据日期是合同标的的实际交货日期。</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5.5如果卖方未能按照合同规定的交货期限交货，卖方应按《合同专用条款》的规定支付违约金或提供其他救济。</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第六条 包装与标记</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6.1除非合同中另有规定，合同标的应保持产品制造企业原包装完好。</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6.2在合同标的的每件包装中都应附有下列单据： </w:t>
      </w:r>
      <w:r/>
    </w:p>
    <w:p>
      <w:pPr>
        <w:ind w:firstLine="560"/>
        <w:spacing w:line="360" w:lineRule="auto"/>
        <w:rPr>
          <w:rFonts w:ascii="仿宋" w:hAnsi="仿宋" w:eastAsia="仿宋" w:cs="仿宋"/>
          <w:strike/>
          <w:color w:val="auto"/>
          <w:sz w:val="28"/>
          <w:szCs w:val="28"/>
          <w:highlight w:val="none"/>
        </w:rPr>
      </w:pPr>
      <w:r>
        <w:rPr>
          <w:rFonts w:hint="eastAsia" w:ascii="仿宋" w:hAnsi="仿宋" w:eastAsia="仿宋" w:cs="仿宋"/>
          <w:color w:val="auto"/>
          <w:sz w:val="28"/>
          <w:szCs w:val="28"/>
          <w:highlight w:val="none"/>
        </w:rPr>
        <w:t xml:space="preserve">A. 装箱明细单； </w:t>
      </w:r>
      <w:r/>
    </w:p>
    <w:p>
      <w:pPr>
        <w:ind w:firstLine="560"/>
        <w:spacing w:line="360" w:lineRule="auto"/>
        <w:rPr>
          <w:rFonts w:ascii="仿宋" w:hAnsi="仿宋" w:eastAsia="仿宋" w:cs="仿宋"/>
          <w:strike/>
          <w:color w:val="auto"/>
          <w:sz w:val="28"/>
          <w:szCs w:val="28"/>
          <w:highlight w:val="none"/>
        </w:rPr>
      </w:pPr>
      <w:r>
        <w:rPr>
          <w:rFonts w:hint="eastAsia" w:ascii="仿宋" w:hAnsi="仿宋" w:eastAsia="仿宋" w:cs="仿宋"/>
          <w:color w:val="auto"/>
          <w:sz w:val="28"/>
          <w:szCs w:val="28"/>
          <w:highlight w:val="none"/>
        </w:rPr>
        <w:t xml:space="preserve">B. 质量合格证； </w:t>
      </w:r>
      <w:r/>
    </w:p>
    <w:p>
      <w:pPr>
        <w:ind w:firstLine="560"/>
        <w:spacing w:line="360" w:lineRule="auto"/>
        <w:rPr>
          <w:rFonts w:ascii="仿宋" w:hAnsi="仿宋" w:eastAsia="仿宋" w:cs="仿宋"/>
          <w:strike/>
          <w:color w:val="auto"/>
          <w:sz w:val="28"/>
          <w:szCs w:val="28"/>
          <w:highlight w:val="none"/>
        </w:rPr>
      </w:pPr>
      <w:r>
        <w:rPr>
          <w:rFonts w:hint="eastAsia" w:ascii="仿宋" w:hAnsi="仿宋" w:eastAsia="仿宋" w:cs="仿宋"/>
          <w:color w:val="auto"/>
          <w:sz w:val="28"/>
          <w:szCs w:val="28"/>
          <w:highlight w:val="none"/>
        </w:rPr>
        <w:t xml:space="preserve">C. 技术资料。</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第七条 技术资料</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 技术资料交付的期限和方式见《合同专用条款》。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第八条 安装</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 合同标的的安装期限见《合同专用条款》。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 项目实施方案见合同附件7。</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第九条 验收</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9.1合同标的的试运行、验收见《合同专用条款》。</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9.2如果合同附件2 所规定的所有技术性能在验收中都已经达到，双方应在验收合格后5 日内签署验收书。</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9.3验收标准（验收要求、验收标准和程序）：见合同附件5。</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第十条 售后服务和技术培训</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10.1售后服务和技术培训见合同附件3。</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第十一条 索赔</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 卖方替换不符合合同规定的合同标的。</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 按质量低劣的程度、买方受损害的程度及损失的数额对合同标的进行降价。</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C. 拒收合同标的。</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D. 赔偿由卖方违约引起的其他损失。</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第十二条 不可抗力</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第十三条 合同的终止</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 卖方在合同规定的交货期限后未能按《合同专用条款》中规定的最终期限交付合同标的和/或技术资料； </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 合同标的未能达到合同附件2 规定的技术性能； </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C. 卖方未能履行合同项下任何其它义务，并且在收到买方违约通知后未能按《合同专用条款》中规定的期限对其违约行为作出补救。</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13.3如果买方认定卖方在投标或执行合同中有腐败或欺诈行为,买方有权在任何时候发出书面通知终止合同。</w:t>
      </w:r>
      <w:r/>
    </w:p>
    <w:p>
      <w:pPr>
        <w:ind w:left="1"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A.“腐败行为”系指在招标、采购和合同执行等过程中，为谋求利益、影响相关人员而提供、给予、接受或索取任何有价物的行为。</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B.“欺诈行为”系指为了影响招标、采购和合同执行等过程而隐瞒事实，从而给买方造成损害的行为，其中包括投标人之间的串通行为。</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13.4 在买方全部或部分终止合同的情况下，卖方应按《合同专用条款》的规定对买方给予补偿。</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第十四条 争议的解决</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 因执行本合同所发生的或者与本合同有关的一切争议由合同双方通过友好协商解决，如果不能协商一致，按《合同专用条款》规定的方式解决。</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第十五条 适用法律</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 本合同的执行和争议的解决适用中华人民共和国的法律并按中华人民共和国的法律进行解释。</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第十六条  权利保证</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16.1卖方应保证买方在使用合同标的时不受第三方提出侵犯其专利权、版权、商标权或其他权利的起诉。一旦出现侵权，卖方承担全部责任。</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第十七条  保密 </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17.2上述秘密，卖方只能用于本合同，而且只能由卖方相应的人员使用；没有必要接触的卖方人员，不得接触。</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17.3卖方应当采取适当有效的方式保护所获取的上述秘密。</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第十八条 合同生效及其他</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 本合同在合同协议书（合同附件1）规定的条件全部满足后生效。</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18.3 合同双方各自承担与本合同有关的应负税费。</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18.4合同双方除非《合同专用条款》另有规定，所有合同文件及相关的修订和合同双方之间的书面联络，应使用中文书就并按中文解释。</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18.5对本合同的任何补充、增添或修改以书面方式进行。</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18.6没有另一方的事先书面同意，合同任何一方不得将合同项下的任何权利和义务转让给第三方。</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18.8合同条款中的标题和边注仅供参考使用，不应视为合同的一部分，也不影响本文的解释。</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18.9合同构成买方和卖方之间就合同主要内容方面的完整协议，并且取代合同签订前所有关于这方面的通讯、协商、协议(不论是书面的，还是口头的)。</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rPr>
          <w:color w:val="auto"/>
          <w:highlight w:val="none"/>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color w:val="auto"/>
          <w:highlight w:val="none"/>
        </w:rPr>
      </w:r>
      <w:r/>
    </w:p>
    <w:p>
      <w:pPr>
        <w:ind w:firstLine="600"/>
        <w:jc w:val="center"/>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合同专用条款</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甲方（买方）：</w:t>
      </w:r>
      <w:r>
        <w:rPr>
          <w:rFonts w:hint="eastAsia" w:ascii="仿宋" w:hAnsi="仿宋" w:eastAsia="仿宋" w:cs="仿宋"/>
          <w:color w:val="auto"/>
          <w:sz w:val="28"/>
          <w:szCs w:val="28"/>
          <w:highlight w:val="none"/>
          <w:u w:val="single"/>
        </w:rPr>
        <w:t xml:space="preserve">             </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乙方（卖方）：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60"/>
        <w:spacing w:line="360" w:lineRule="auto"/>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仿宋" w:hAnsi="仿宋" w:eastAsia="仿宋" w:cs="仿宋"/>
          <w:color w:val="auto"/>
          <w:sz w:val="28"/>
          <w:szCs w:val="28"/>
          <w:highlight w:val="none"/>
        </w:rPr>
        <w:t xml:space="preserve">的权利、义务，确保合同双方共同执行。</w:t>
      </w:r>
      <w:r/>
    </w:p>
    <w:p>
      <w:pPr>
        <w:numPr>
          <w:ilvl w:val="0"/>
          <w:numId w:val="5"/>
        </w:numPr>
        <w:spacing w:line="3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合同标的</w:t>
      </w:r>
      <w:r/>
    </w:p>
    <w:p>
      <w:pPr>
        <w:ind w:left="426"/>
        <w:spacing w:line="360" w:lineRule="exact"/>
        <w:rPr>
          <w:rFonts w:ascii="仿宋" w:hAnsi="仿宋" w:eastAsia="仿宋" w:cs="仿宋"/>
          <w:color w:val="auto"/>
          <w:sz w:val="28"/>
          <w:szCs w:val="28"/>
          <w:highlight w:val="none"/>
        </w:rPr>
      </w:pPr>
      <w:r>
        <w:rPr>
          <w:rStyle w:val="972"/>
          <w:rFonts w:hint="eastAsia" w:ascii="仿宋" w:hAnsi="仿宋" w:eastAsia="仿宋" w:cs="仿宋"/>
          <w:color w:val="auto"/>
          <w:sz w:val="28"/>
          <w:szCs w:val="28"/>
          <w:highlight w:val="none"/>
        </w:rPr>
        <w:t xml:space="preserve">1.1产品名称、型号、规格、数量及价款</w:t>
      </w:r>
      <w:r/>
    </w:p>
    <w:tbl>
      <w:tblPr>
        <w:tblStyle w:val="780"/>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产品名称</w:t>
            </w:r>
            <w:r/>
          </w:p>
        </w:tc>
        <w:tc>
          <w:tcPr>
            <w:tcW w:w="1273" w:type="dxa"/>
            <w:vAlign w:val="center"/>
            <w:textDirection w:val="lrTb"/>
            <w:noWrap w:val="false"/>
          </w:tcPr>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型号</w:t>
            </w:r>
            <w:r/>
          </w:p>
        </w:tc>
        <w:tc>
          <w:tcPr>
            <w:tcW w:w="1101" w:type="dxa"/>
            <w:vAlign w:val="center"/>
            <w:textDirection w:val="lrTb"/>
            <w:noWrap w:val="false"/>
          </w:tcPr>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单价（元）</w:t>
            </w:r>
            <w:r/>
          </w:p>
        </w:tc>
        <w:tc>
          <w:tcPr>
            <w:tcW w:w="1088" w:type="dxa"/>
            <w:vAlign w:val="center"/>
            <w:textDirection w:val="lrTb"/>
            <w:noWrap w:val="false"/>
          </w:tcPr>
          <w:p>
            <w:pPr>
              <w:jc w:val="center"/>
              <w:rPr>
                <w:rFonts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单位</w:t>
            </w:r>
            <w:r/>
          </w:p>
        </w:tc>
        <w:tc>
          <w:tcPr>
            <w:tcW w:w="918" w:type="dxa"/>
            <w:vAlign w:val="center"/>
            <w:textDirection w:val="lrTb"/>
            <w:noWrap w:val="false"/>
          </w:tcPr>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数量</w:t>
            </w:r>
            <w:r/>
          </w:p>
        </w:tc>
        <w:tc>
          <w:tcPr>
            <w:tcW w:w="1075" w:type="dxa"/>
            <w:vAlign w:val="center"/>
            <w:textDirection w:val="lrTb"/>
            <w:noWrap w:val="false"/>
          </w:tcPr>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金额（元）</w:t>
            </w:r>
            <w:r/>
          </w:p>
        </w:tc>
        <w:tc>
          <w:tcPr>
            <w:tcW w:w="1380" w:type="dxa"/>
            <w:vAlign w:val="center"/>
            <w:textDirection w:val="lrTb"/>
            <w:noWrap w:val="false"/>
          </w:tcPr>
          <w:p>
            <w:pPr>
              <w:jc w:val="center"/>
              <w:rPr>
                <w:rFonts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273"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101"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088"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918"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075"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380"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r>
      <w:tr>
        <w:trPr>
          <w:jc w:val="center"/>
          <w:trHeight w:val="567" w:hRule="exact"/>
        </w:trPr>
        <w:tc>
          <w:tcPr>
            <w:tcW w:w="1843"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273"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101"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088"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918"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075"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380"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r>
      <w:tr>
        <w:trPr>
          <w:jc w:val="center"/>
          <w:trHeight w:val="567" w:hRule="exact"/>
        </w:trPr>
        <w:tc>
          <w:tcPr>
            <w:tcW w:w="1843" w:type="dxa"/>
            <w:vAlign w:val="center"/>
            <w:textDirection w:val="lrTb"/>
            <w:noWrap w:val="false"/>
          </w:tcPr>
          <w:p>
            <w:pPr>
              <w:jc w:val="center"/>
              <w:rPr>
                <w:rFonts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w:t>
            </w:r>
            <w:r/>
          </w:p>
        </w:tc>
        <w:tc>
          <w:tcPr>
            <w:tcW w:w="1273"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101"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088"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918"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075"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1380" w:type="dxa"/>
            <w:vAlign w:val="center"/>
            <w:textDirection w:val="lrTb"/>
            <w:noWrap w:val="false"/>
          </w:tcPr>
          <w:p>
            <w:pPr>
              <w:jc w:val="center"/>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r>
      <w:tr>
        <w:trPr>
          <w:jc w:val="center"/>
          <w:trHeight w:val="537"/>
        </w:trPr>
        <w:tc>
          <w:tcPr>
            <w:gridSpan w:val="7"/>
            <w:tcW w:w="8678" w:type="dxa"/>
            <w:vAlign w:val="center"/>
            <w:textDirection w:val="lrTb"/>
            <w:noWrap w:val="false"/>
          </w:tcPr>
          <w:p>
            <w:pPr>
              <w:jc w:val="left"/>
              <w:rPr>
                <w:rFonts w:ascii="仿宋" w:hAnsi="仿宋" w:eastAsia="仿宋" w:cs="仿宋"/>
                <w:color w:val="auto"/>
                <w:sz w:val="28"/>
                <w:szCs w:val="28"/>
                <w:highlight w:val="none"/>
                <w:lang w:bidi="ar"/>
              </w:rPr>
            </w:pPr>
            <w:r>
              <w:rPr>
                <w:rFonts w:hint="eastAsia" w:ascii="仿宋" w:hAnsi="仿宋" w:eastAsia="仿宋" w:cs="仿宋"/>
                <w:b/>
                <w:color w:val="auto"/>
                <w:sz w:val="28"/>
                <w:szCs w:val="28"/>
                <w:highlight w:val="none"/>
                <w:lang w:bidi="ar"/>
              </w:rPr>
              <w:t xml:space="preserve">合计（大写）：人民币</w:t>
            </w:r>
            <w:r>
              <w:rPr>
                <w:rFonts w:hint="eastAsia" w:ascii="仿宋" w:hAnsi="仿宋" w:eastAsia="仿宋" w:cs="仿宋"/>
                <w:b/>
                <w:color w:val="auto"/>
                <w:sz w:val="28"/>
                <w:szCs w:val="28"/>
                <w:highlight w:val="none"/>
                <w:u w:val="single"/>
                <w:lang w:bidi="ar"/>
              </w:rPr>
              <w:t xml:space="preserve">       </w:t>
            </w:r>
            <w:r>
              <w:rPr>
                <w:rFonts w:hint="eastAsia" w:ascii="仿宋" w:hAnsi="仿宋" w:eastAsia="仿宋" w:cs="仿宋"/>
                <w:b/>
                <w:color w:val="auto"/>
                <w:sz w:val="28"/>
                <w:szCs w:val="28"/>
                <w:highlight w:val="none"/>
                <w:lang w:bidi="ar"/>
              </w:rPr>
              <w:t xml:space="preserve">元整 </w:t>
            </w:r>
            <w:r>
              <w:rPr>
                <w:rFonts w:hint="eastAsia" w:ascii="仿宋" w:hAnsi="仿宋" w:eastAsia="仿宋" w:cs="仿宋"/>
                <w:b/>
                <w:color w:val="auto"/>
                <w:sz w:val="28"/>
                <w:szCs w:val="28"/>
                <w:highlight w:val="none"/>
                <w:u w:val="single"/>
                <w:lang w:bidi="ar"/>
              </w:rPr>
              <w:t xml:space="preserve">       </w:t>
            </w:r>
            <w:r>
              <w:rPr>
                <w:rFonts w:hint="eastAsia" w:ascii="仿宋" w:hAnsi="仿宋" w:eastAsia="仿宋" w:cs="仿宋"/>
                <w:b/>
                <w:color w:val="auto"/>
                <w:sz w:val="28"/>
                <w:szCs w:val="28"/>
                <w:highlight w:val="none"/>
                <w:lang w:bidi="ar"/>
              </w:rPr>
              <w:t xml:space="preserve">（含税含运费）</w:t>
            </w:r>
            <w:r/>
          </w:p>
        </w:tc>
      </w:tr>
    </w:tbl>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3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乙方所提供的产品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00"/>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00"/>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1.5本项目所有设备应包含所有有关互连所需的相关配件，保证其能正常运行，甲方不再为此另行支付任何费用。</w:t>
      </w:r>
      <w:r/>
    </w:p>
    <w:p>
      <w:pPr>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2.交货方法、交货期限、到货地点及风险转移</w:t>
      </w:r>
      <w:r/>
    </w:p>
    <w:p>
      <w:pPr>
        <w:pStyle w:val="1005"/>
        <w:ind w:left="0"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2.1交货期：自本合同签订生效之日起</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日内送达甲方指定地点，并安装调试完毕并投入使用。</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2.2</w:t>
      </w:r>
      <w:r>
        <w:rPr>
          <w:rFonts w:hint="eastAsia" w:ascii="仿宋" w:hAnsi="仿宋" w:eastAsia="仿宋" w:cs="仿宋"/>
          <w:color w:val="auto"/>
          <w:sz w:val="28"/>
          <w:szCs w:val="28"/>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2.3</w:t>
      </w:r>
      <w:r>
        <w:rPr>
          <w:rFonts w:hint="eastAsia" w:ascii="仿宋" w:hAnsi="仿宋" w:eastAsia="仿宋" w:cs="仿宋"/>
          <w:color w:val="auto"/>
          <w:sz w:val="28"/>
          <w:szCs w:val="28"/>
          <w:highlight w:val="none"/>
        </w:rPr>
        <w:t xml:space="preserve">甲方指定的到货地点。</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2.4</w:t>
      </w:r>
      <w:r>
        <w:rPr>
          <w:rFonts w:hint="eastAsia" w:ascii="仿宋" w:hAnsi="仿宋" w:eastAsia="仿宋" w:cs="仿宋"/>
          <w:color w:val="auto"/>
          <w:sz w:val="28"/>
          <w:szCs w:val="28"/>
          <w:highlight w:val="none"/>
        </w:rPr>
        <w:t xml:space="preserve">在乙方将货物交付甲方指定的交货地点和人员前，货物的毁损、灭失风险完全由乙方承担。</w:t>
      </w:r>
      <w:r/>
    </w:p>
    <w:p>
      <w:pPr>
        <w:ind w:firstLine="482"/>
        <w:spacing w:line="360" w:lineRule="auto"/>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3. 货物包装及质量保证</w:t>
      </w:r>
      <w:r/>
    </w:p>
    <w:p>
      <w:pPr>
        <w:ind w:left="0" w:right="0" w:firstLine="482"/>
        <w:jc w:val="both"/>
        <w:spacing w:before="0" w:after="0" w:line="360" w:lineRule="auto"/>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left="0" w:right="0" w:firstLine="480"/>
        <w:jc w:val="both"/>
        <w:spacing w:before="0" w:after="0" w:line="360" w:lineRule="auto"/>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left="0" w:right="0" w:firstLine="480"/>
        <w:jc w:val="both"/>
        <w:spacing w:before="0" w:after="0" w:line="360" w:lineRule="auto"/>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left="0" w:right="0" w:firstLine="480"/>
        <w:jc w:val="both"/>
        <w:spacing w:before="0" w:after="0" w:line="360" w:lineRule="auto"/>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3.4乙方应保证本合同货物和服务或其任何一部分享有合法专利权、版权、商标权和工业设计权等知识产权，或经第三方合法授权。一旦出现侵权，由乙方负全部责任。</w:t>
      </w:r>
      <w:r/>
    </w:p>
    <w:p>
      <w:pPr>
        <w:ind w:left="0" w:right="0" w:firstLine="480"/>
        <w:jc w:val="both"/>
        <w:spacing w:before="0" w:after="0" w:line="360" w:lineRule="auto"/>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left="0" w:right="0" w:firstLine="480"/>
        <w:jc w:val="both"/>
        <w:spacing w:before="0" w:after="0" w:line="360" w:lineRule="auto"/>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3.6乙方保证所提供设备的技术规格符合甲方采购需求，符合国家有关部门最新颁布的标准及规范。</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4.</w:t>
      </w:r>
      <w:r>
        <w:rPr>
          <w:rFonts w:ascii="仿宋" w:hAnsi="仿宋" w:eastAsia="仿宋" w:cs="仿宋"/>
          <w:b/>
          <w:color w:val="000000"/>
          <w:sz w:val="28"/>
        </w:rPr>
        <w:t xml:space="preserve">验收</w:t>
      </w:r>
      <w:r/>
    </w:p>
    <w:p>
      <w:pPr>
        <w:ind w:left="0" w:right="0" w:firstLine="480"/>
        <w:jc w:val="both"/>
        <w:spacing w:before="0" w:after="0" w:line="360" w:lineRule="auto"/>
        <w:rPr>
          <w:rFonts w:ascii="仿宋" w:hAnsi="仿宋" w:eastAsia="仿宋" w:cs="仿宋"/>
          <w:b/>
          <w:bCs/>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4.1</w:t>
      </w:r>
      <w:r>
        <w:rPr>
          <w:rFonts w:ascii="仿宋" w:hAnsi="仿宋" w:eastAsia="仿宋" w:cs="仿宋"/>
          <w:b/>
          <w:bCs/>
          <w:color w:val="000000"/>
          <w:sz w:val="28"/>
          <w:szCs w:val="28"/>
        </w:rPr>
        <w:t xml:space="preserve">、</w:t>
      </w:r>
      <w:r>
        <w:rPr>
          <w:rFonts w:ascii="仿宋" w:hAnsi="仿宋" w:eastAsia="仿宋" w:cs="仿宋"/>
          <w:b/>
          <w:bCs/>
          <w:color w:val="000000"/>
          <w:sz w:val="28"/>
          <w:szCs w:val="28"/>
        </w:rPr>
        <w:t xml:space="preserve">验收时间：</w:t>
      </w:r>
      <w:r>
        <w:rPr>
          <w:rFonts w:ascii="仿宋" w:hAnsi="仿宋" w:eastAsia="仿宋" w:cs="仿宋"/>
          <w:b/>
          <w:bCs/>
          <w:color w:val="000000"/>
          <w:sz w:val="28"/>
          <w:szCs w:val="28"/>
        </w:rPr>
        <w:t xml:space="preserve">合同标的约在12月10</w:t>
      </w:r>
      <w:r>
        <w:rPr>
          <w:rFonts w:ascii="仿宋" w:hAnsi="仿宋" w:eastAsia="仿宋" w:cs="仿宋"/>
          <w:b/>
          <w:bCs/>
          <w:color w:val="000000"/>
          <w:sz w:val="28"/>
          <w:szCs w:val="28"/>
        </w:rPr>
        <w:t xml:space="preserve">日</w:t>
      </w:r>
      <w:r>
        <w:rPr>
          <w:rFonts w:ascii="仿宋" w:hAnsi="仿宋" w:eastAsia="仿宋" w:cs="仿宋"/>
          <w:b/>
          <w:bCs/>
          <w:color w:val="000000"/>
          <w:sz w:val="28"/>
          <w:szCs w:val="28"/>
        </w:rPr>
        <w:t xml:space="preserve">全部交付并安装完毕后，卖方可向买方书面提出试运行、验收要求，买方在接到书面要求后10日内进行试运行、验收</w:t>
      </w:r>
      <w:r>
        <w:rPr>
          <w:rFonts w:ascii="仿宋" w:hAnsi="仿宋" w:eastAsia="仿宋" w:cs="仿宋"/>
          <w:b/>
          <w:bCs/>
          <w:color w:val="000000"/>
          <w:sz w:val="28"/>
          <w:szCs w:val="28"/>
        </w:rPr>
        <w:t xml:space="preserve">。</w:t>
      </w:r>
      <w:r>
        <w:rPr>
          <w:rFonts w:ascii="仿宋" w:hAnsi="仿宋" w:eastAsia="仿宋" w:cs="仿宋"/>
          <w:b/>
          <w:bCs/>
          <w:color w:val="000000"/>
          <w:sz w:val="28"/>
          <w:szCs w:val="28"/>
        </w:rPr>
      </w:r>
      <w:r/>
    </w:p>
    <w:p>
      <w:pPr>
        <w:ind w:left="0" w:right="0" w:firstLine="480"/>
        <w:jc w:val="both"/>
        <w:spacing w:before="0" w:after="0" w:line="360" w:lineRule="auto"/>
        <w:rPr>
          <w:rFonts w:ascii="仿宋" w:hAnsi="仿宋" w:eastAsia="仿宋" w:cs="仿宋"/>
          <w:b/>
          <w:bCs/>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4.2</w:t>
      </w:r>
      <w:r>
        <w:rPr>
          <w:rFonts w:ascii="仿宋" w:hAnsi="仿宋" w:eastAsia="仿宋" w:cs="仿宋"/>
          <w:b/>
          <w:bCs/>
          <w:color w:val="000000"/>
          <w:sz w:val="28"/>
          <w:szCs w:val="28"/>
        </w:rPr>
        <w:t xml:space="preserve">、</w:t>
      </w:r>
      <w:r>
        <w:rPr>
          <w:rFonts w:ascii="仿宋" w:hAnsi="仿宋" w:eastAsia="仿宋" w:cs="仿宋"/>
          <w:b/>
          <w:bCs/>
          <w:color w:val="000000"/>
          <w:sz w:val="28"/>
          <w:szCs w:val="28"/>
        </w:rPr>
        <w:t xml:space="preserve">验收地点：何桥、张集、刘集、利国4家区域养老服务中心。</w:t>
      </w:r>
      <w:r>
        <w:rPr>
          <w:rFonts w:ascii="仿宋" w:hAnsi="仿宋" w:eastAsia="仿宋" w:cs="仿宋"/>
          <w:b/>
          <w:bCs/>
          <w:color w:val="000000"/>
          <w:sz w:val="28"/>
          <w:szCs w:val="28"/>
        </w:rPr>
      </w:r>
      <w:r/>
    </w:p>
    <w:p>
      <w:pPr>
        <w:ind w:left="0" w:right="0" w:firstLine="480"/>
        <w:jc w:val="both"/>
        <w:spacing w:before="0" w:after="0" w:line="360" w:lineRule="auto"/>
        <w:rPr>
          <w:rFonts w:ascii="仿宋" w:hAnsi="仿宋" w:eastAsia="仿宋" w:cs="仿宋"/>
          <w:b/>
          <w:bCs/>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4.3、验收主体：</w:t>
      </w:r>
      <w:r>
        <w:rPr>
          <w:rFonts w:ascii="仿宋" w:hAnsi="仿宋" w:eastAsia="仿宋" w:cs="仿宋"/>
          <w:b/>
          <w:bCs/>
          <w:color w:val="000000"/>
          <w:sz w:val="28"/>
        </w:rPr>
        <w:t xml:space="preserve">徐州市</w:t>
      </w:r>
      <w:r>
        <w:rPr>
          <w:rFonts w:ascii="仿宋" w:hAnsi="仿宋" w:eastAsia="仿宋" w:cs="仿宋"/>
          <w:b/>
          <w:bCs/>
          <w:color w:val="000000"/>
          <w:sz w:val="28"/>
        </w:rPr>
        <w:t xml:space="preserve">铜山</w:t>
      </w:r>
      <w:r>
        <w:rPr>
          <w:rFonts w:ascii="仿宋" w:hAnsi="仿宋" w:eastAsia="仿宋" w:cs="仿宋"/>
          <w:b/>
          <w:bCs/>
          <w:color w:val="000000"/>
          <w:sz w:val="28"/>
        </w:rPr>
        <w:t xml:space="preserve">区民政局。</w:t>
      </w:r>
      <w:r>
        <w:rPr>
          <w:rFonts w:ascii="仿宋" w:hAnsi="仿宋" w:eastAsia="仿宋" w:cs="仿宋"/>
          <w:b/>
          <w:bCs/>
          <w:color w:val="000000"/>
          <w:sz w:val="28"/>
          <w:szCs w:val="28"/>
        </w:rPr>
      </w:r>
      <w:r/>
    </w:p>
    <w:p>
      <w:pPr>
        <w:ind w:left="0" w:right="0" w:firstLine="480"/>
        <w:jc w:val="both"/>
        <w:spacing w:before="0" w:after="0" w:line="360" w:lineRule="auto"/>
        <w:rPr>
          <w:rFonts w:ascii="仿宋" w:hAnsi="仿宋" w:eastAsia="仿宋" w:cs="仿宋"/>
          <w:b/>
          <w:bCs/>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highlight w:val="none"/>
        </w:rPr>
        <w:t xml:space="preserve">4.4</w:t>
      </w:r>
      <w:r>
        <w:rPr>
          <w:rFonts w:ascii="仿宋" w:hAnsi="仿宋" w:eastAsia="仿宋" w:cs="仿宋"/>
          <w:b/>
          <w:bCs/>
          <w:color w:val="000000"/>
          <w:sz w:val="28"/>
          <w:szCs w:val="28"/>
          <w:highlight w:val="none"/>
        </w:rPr>
        <w:t xml:space="preserve">、</w:t>
      </w:r>
      <w:r>
        <w:rPr>
          <w:rFonts w:ascii="仿宋" w:hAnsi="仿宋" w:eastAsia="仿宋" w:cs="仿宋"/>
          <w:b/>
          <w:bCs/>
          <w:color w:val="000000"/>
          <w:sz w:val="28"/>
          <w:szCs w:val="28"/>
          <w:highlight w:val="none"/>
        </w:rPr>
        <w:t xml:space="preserve">验收</w:t>
      </w:r>
      <w:r>
        <w:rPr>
          <w:rFonts w:ascii="仿宋" w:hAnsi="仿宋" w:eastAsia="仿宋" w:cs="仿宋"/>
          <w:b/>
          <w:bCs/>
          <w:color w:val="000000"/>
          <w:sz w:val="28"/>
          <w:szCs w:val="28"/>
          <w:highlight w:val="none"/>
        </w:rPr>
        <w:t xml:space="preserve">方式</w:t>
      </w:r>
      <w:r>
        <w:rPr>
          <w:rFonts w:ascii="仿宋" w:hAnsi="仿宋" w:eastAsia="仿宋" w:cs="仿宋"/>
          <w:b/>
          <w:bCs/>
          <w:color w:val="000000"/>
          <w:sz w:val="28"/>
          <w:szCs w:val="28"/>
          <w:highlight w:val="none"/>
        </w:rPr>
        <w:t xml:space="preserve">：</w:t>
      </w:r>
      <w:r>
        <w:rPr>
          <w:rFonts w:ascii="仿宋" w:hAnsi="仿宋" w:eastAsia="仿宋" w:cs="仿宋"/>
          <w:b/>
          <w:bCs/>
          <w:color w:val="000000"/>
          <w:sz w:val="28"/>
        </w:rPr>
        <w:t xml:space="preserve">由</w:t>
      </w:r>
      <w:r>
        <w:rPr>
          <w:rFonts w:ascii="仿宋" w:hAnsi="仿宋" w:eastAsia="仿宋" w:cs="仿宋"/>
          <w:b/>
          <w:bCs/>
          <w:color w:val="000000"/>
          <w:sz w:val="28"/>
        </w:rPr>
        <w:t xml:space="preserve">徐州市</w:t>
      </w:r>
      <w:r>
        <w:rPr>
          <w:rFonts w:ascii="仿宋" w:hAnsi="仿宋" w:eastAsia="仿宋" w:cs="仿宋"/>
          <w:b/>
          <w:bCs/>
          <w:color w:val="000000"/>
          <w:sz w:val="28"/>
        </w:rPr>
        <w:t xml:space="preserve">铜山</w:t>
      </w:r>
      <w:r>
        <w:rPr>
          <w:rFonts w:ascii="仿宋" w:hAnsi="仿宋" w:eastAsia="仿宋" w:cs="仿宋"/>
          <w:b/>
          <w:bCs/>
          <w:color w:val="000000"/>
          <w:sz w:val="28"/>
        </w:rPr>
        <w:t xml:space="preserve">区民政局、各区域养老中心运营方（属地卫生院）、代理机构共同组成验收小组，负责合同标的履约验收具体工作，对采购货物进行联合验收。</w:t>
      </w:r>
      <w:r>
        <w:rPr>
          <w:rFonts w:ascii="仿宋" w:hAnsi="仿宋" w:eastAsia="仿宋" w:cs="仿宋"/>
          <w:b/>
          <w:bCs/>
          <w:color w:val="000000"/>
          <w:sz w:val="28"/>
          <w:szCs w:val="28"/>
          <w:highlight w:val="none"/>
        </w:rPr>
      </w:r>
      <w:r/>
    </w:p>
    <w:p>
      <w:pPr>
        <w:ind w:left="0" w:right="0" w:firstLine="480"/>
        <w:jc w:val="both"/>
        <w:spacing w:before="0" w:after="0" w:line="360" w:lineRule="auto"/>
        <w:rPr>
          <w:rFonts w:ascii="仿宋" w:hAnsi="仿宋" w:eastAsia="仿宋" w:cs="仿宋"/>
          <w:b/>
          <w:bCs/>
          <w:color w:val="000000"/>
          <w:sz w:val="28"/>
          <w:szCs w:val="28"/>
          <w:highlight w:val="none"/>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4.5、验收内容：</w:t>
      </w:r>
      <w:r>
        <w:rPr>
          <w:rFonts w:ascii="仿宋" w:hAnsi="仿宋" w:eastAsia="仿宋" w:cs="仿宋"/>
          <w:b/>
          <w:bCs/>
          <w:color w:val="000000"/>
          <w:sz w:val="28"/>
        </w:rPr>
        <w:t xml:space="preserve">①货物清单；②品牌、型号、规格、数量及外观质量等；③技术、性能指标；④运行状况及安装调试；⑤质量证明文件；⑥售后服务承诺；⑦安全标准；⑧合同履约时间、地点、方式</w:t>
      </w:r>
      <w:r>
        <w:rPr>
          <w:rFonts w:ascii="仿宋" w:hAnsi="仿宋" w:eastAsia="仿宋" w:cs="仿宋"/>
          <w:b/>
          <w:bCs/>
          <w:color w:val="000000"/>
          <w:sz w:val="28"/>
          <w:szCs w:val="28"/>
        </w:rPr>
        <w:t xml:space="preserve">。</w:t>
      </w:r>
      <w:r>
        <w:rPr>
          <w:rFonts w:ascii="仿宋" w:hAnsi="仿宋" w:eastAsia="仿宋" w:cs="仿宋"/>
          <w:b/>
          <w:bCs/>
          <w:color w:val="000000"/>
          <w:sz w:val="28"/>
          <w:szCs w:val="28"/>
        </w:rPr>
        <w:t xml:space="preserve">以上</w:t>
      </w:r>
      <w:r>
        <w:rPr>
          <w:rFonts w:ascii="仿宋" w:hAnsi="仿宋" w:eastAsia="仿宋" w:cs="仿宋"/>
          <w:b/>
          <w:bCs/>
          <w:color w:val="000000"/>
          <w:sz w:val="28"/>
          <w:szCs w:val="28"/>
        </w:rPr>
        <w:t xml:space="preserve">内容</w:t>
      </w:r>
      <w:r>
        <w:rPr>
          <w:rFonts w:ascii="仿宋" w:hAnsi="仿宋" w:eastAsia="仿宋" w:cs="仿宋"/>
          <w:b/>
          <w:bCs/>
          <w:color w:val="000000"/>
          <w:sz w:val="28"/>
          <w:szCs w:val="28"/>
        </w:rPr>
        <w:t xml:space="preserve">是</w:t>
      </w:r>
      <w:r>
        <w:rPr>
          <w:rFonts w:ascii="仿宋" w:hAnsi="仿宋" w:eastAsia="仿宋" w:cs="仿宋"/>
          <w:b/>
          <w:bCs/>
          <w:color w:val="000000"/>
          <w:sz w:val="28"/>
          <w:szCs w:val="28"/>
        </w:rPr>
        <w:t xml:space="preserve">否</w:t>
      </w:r>
      <w:r>
        <w:rPr>
          <w:rFonts w:ascii="仿宋" w:hAnsi="仿宋" w:eastAsia="仿宋" w:cs="仿宋"/>
          <w:b/>
          <w:bCs/>
          <w:color w:val="000000"/>
          <w:sz w:val="28"/>
          <w:szCs w:val="28"/>
        </w:rPr>
        <w:t xml:space="preserve">能</w:t>
      </w:r>
      <w:r>
        <w:rPr>
          <w:rFonts w:ascii="仿宋" w:hAnsi="仿宋" w:eastAsia="仿宋" w:cs="仿宋"/>
          <w:b/>
          <w:bCs/>
          <w:color w:val="000000"/>
          <w:sz w:val="28"/>
          <w:szCs w:val="28"/>
        </w:rPr>
        <w:t xml:space="preserve">满足</w:t>
      </w:r>
      <w:r>
        <w:rPr>
          <w:rFonts w:ascii="仿宋" w:hAnsi="仿宋" w:eastAsia="仿宋" w:cs="仿宋"/>
          <w:b/>
          <w:bCs/>
          <w:color w:val="000000"/>
          <w:sz w:val="28"/>
          <w:szCs w:val="28"/>
        </w:rPr>
        <w:t xml:space="preserve">招标</w:t>
      </w:r>
      <w:r>
        <w:rPr>
          <w:rFonts w:ascii="仿宋" w:hAnsi="仿宋" w:eastAsia="仿宋" w:cs="仿宋"/>
          <w:b/>
          <w:bCs/>
          <w:color w:val="000000"/>
          <w:sz w:val="28"/>
          <w:szCs w:val="28"/>
        </w:rPr>
        <w:t xml:space="preserve">文件</w:t>
      </w:r>
      <w:r>
        <w:rPr>
          <w:rFonts w:ascii="仿宋" w:hAnsi="仿宋" w:eastAsia="仿宋" w:cs="仿宋"/>
          <w:b/>
          <w:bCs/>
          <w:color w:val="000000"/>
          <w:sz w:val="28"/>
          <w:szCs w:val="28"/>
        </w:rPr>
        <w:t xml:space="preserve">要求</w:t>
      </w:r>
      <w:r>
        <w:rPr>
          <w:rFonts w:ascii="仿宋" w:hAnsi="仿宋" w:eastAsia="仿宋" w:cs="仿宋"/>
          <w:b/>
          <w:bCs/>
          <w:color w:val="000000"/>
          <w:sz w:val="28"/>
          <w:szCs w:val="28"/>
        </w:rPr>
        <w:t xml:space="preserve">。</w:t>
      </w:r>
      <w:r>
        <w:rPr>
          <w:rFonts w:ascii="仿宋" w:hAnsi="仿宋" w:eastAsia="仿宋" w:cs="仿宋"/>
          <w:b/>
          <w:bCs/>
          <w:color w:val="000000"/>
          <w:sz w:val="28"/>
          <w:szCs w:val="28"/>
        </w:rPr>
      </w:r>
      <w:r/>
    </w:p>
    <w:p>
      <w:pPr>
        <w:ind w:left="0" w:right="0" w:firstLine="480"/>
        <w:jc w:val="both"/>
        <w:spacing w:before="0" w:after="0" w:line="360" w:lineRule="auto"/>
        <w:rPr>
          <w:rFonts w:ascii="仿宋" w:hAnsi="仿宋" w:eastAsia="仿宋" w:cs="仿宋"/>
          <w:b/>
          <w:bCs/>
          <w:color w:val="000000"/>
          <w:sz w:val="28"/>
          <w:szCs w:val="28"/>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4.6、验收标准：</w:t>
      </w:r>
      <w:r>
        <w:rPr>
          <w:rFonts w:ascii="仿宋" w:hAnsi="仿宋" w:eastAsia="仿宋" w:cs="仿宋"/>
          <w:b/>
          <w:bCs/>
          <w:color w:val="000000"/>
          <w:sz w:val="28"/>
          <w:szCs w:val="28"/>
        </w:rPr>
        <w:t xml:space="preserve">根据</w:t>
      </w:r>
      <w:r>
        <w:rPr>
          <w:rFonts w:ascii="仿宋" w:hAnsi="仿宋" w:eastAsia="仿宋" w:cs="仿宋"/>
          <w:b/>
          <w:bCs/>
          <w:color w:val="000000"/>
          <w:sz w:val="28"/>
          <w:szCs w:val="28"/>
        </w:rPr>
        <w:t xml:space="preserve">《医疗器械监督管理条例》</w:t>
      </w:r>
      <w:r>
        <w:rPr>
          <w:rFonts w:ascii="仿宋" w:hAnsi="仿宋" w:eastAsia="仿宋" w:cs="仿宋"/>
          <w:b/>
          <w:bCs/>
          <w:color w:val="000000"/>
          <w:sz w:val="28"/>
          <w:szCs w:val="28"/>
        </w:rPr>
        <w:t xml:space="preserve">、</w:t>
      </w:r>
      <w:r>
        <w:rPr>
          <w:rFonts w:ascii="仿宋" w:hAnsi="仿宋" w:eastAsia="仿宋" w:cs="仿宋"/>
          <w:b/>
          <w:bCs/>
          <w:color w:val="000000"/>
          <w:sz w:val="28"/>
          <w:szCs w:val="28"/>
        </w:rPr>
        <w:t xml:space="preserve">《医疗器械使用质量监督管理办法》</w:t>
      </w:r>
      <w:r>
        <w:rPr>
          <w:rFonts w:ascii="仿宋" w:hAnsi="仿宋" w:eastAsia="仿宋" w:cs="仿宋"/>
          <w:b/>
          <w:bCs/>
          <w:color w:val="000000"/>
          <w:sz w:val="28"/>
          <w:szCs w:val="28"/>
        </w:rPr>
        <w:t xml:space="preserve">等</w:t>
      </w:r>
      <w:r>
        <w:rPr>
          <w:rFonts w:ascii="仿宋" w:hAnsi="仿宋" w:eastAsia="仿宋" w:cs="仿宋"/>
          <w:b/>
          <w:bCs/>
          <w:color w:val="000000"/>
          <w:sz w:val="28"/>
          <w:szCs w:val="28"/>
        </w:rPr>
        <w:t xml:space="preserve">相关</w:t>
      </w:r>
      <w:r>
        <w:rPr>
          <w:rFonts w:ascii="仿宋" w:hAnsi="仿宋" w:eastAsia="仿宋" w:cs="仿宋"/>
          <w:b/>
          <w:bCs/>
          <w:color w:val="000000"/>
          <w:sz w:val="28"/>
          <w:szCs w:val="28"/>
        </w:rPr>
        <w:t xml:space="preserve">国家</w:t>
      </w:r>
      <w:r>
        <w:rPr>
          <w:rFonts w:ascii="仿宋" w:hAnsi="仿宋" w:eastAsia="仿宋" w:cs="仿宋"/>
          <w:b/>
          <w:bCs/>
          <w:color w:val="000000"/>
          <w:sz w:val="28"/>
          <w:szCs w:val="28"/>
        </w:rPr>
        <w:t xml:space="preserve">标准</w:t>
      </w:r>
      <w:r>
        <w:rPr>
          <w:rFonts w:ascii="仿宋" w:hAnsi="仿宋" w:eastAsia="仿宋" w:cs="仿宋"/>
          <w:b/>
          <w:bCs/>
          <w:color w:val="000000"/>
          <w:sz w:val="28"/>
          <w:szCs w:val="28"/>
        </w:rPr>
        <w:t xml:space="preserve">和</w:t>
      </w:r>
      <w:r>
        <w:rPr>
          <w:rFonts w:ascii="仿宋" w:hAnsi="仿宋" w:eastAsia="仿宋" w:cs="仿宋"/>
          <w:b/>
          <w:bCs/>
          <w:color w:val="000000"/>
          <w:sz w:val="28"/>
          <w:szCs w:val="28"/>
        </w:rPr>
        <w:t xml:space="preserve">投标文件内容（需符合招标文件要求）</w:t>
      </w:r>
      <w:r>
        <w:rPr>
          <w:rFonts w:ascii="仿宋" w:hAnsi="仿宋" w:eastAsia="仿宋" w:cs="仿宋"/>
          <w:b/>
          <w:bCs/>
          <w:color w:val="000000"/>
          <w:sz w:val="28"/>
          <w:szCs w:val="28"/>
        </w:rPr>
        <w:t xml:space="preserve">。</w:t>
      </w:r>
      <w:r>
        <w:rPr>
          <w:rFonts w:ascii="仿宋" w:hAnsi="仿宋" w:eastAsia="仿宋" w:cs="仿宋"/>
          <w:b/>
          <w:bCs/>
          <w:color w:val="000000"/>
          <w:sz w:val="28"/>
          <w:szCs w:val="28"/>
        </w:rPr>
      </w:r>
      <w:r/>
    </w:p>
    <w:p>
      <w:pPr>
        <w:ind w:left="0" w:right="0" w:firstLine="480"/>
        <w:jc w:val="both"/>
        <w:spacing w:before="0" w:after="0" w:line="360" w:lineRule="auto"/>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4.7</w:t>
      </w:r>
      <w:r>
        <w:rPr>
          <w:rFonts w:ascii="仿宋" w:hAnsi="仿宋" w:eastAsia="仿宋" w:cs="仿宋"/>
          <w:color w:val="000000"/>
          <w:sz w:val="28"/>
        </w:rPr>
        <w:t xml:space="preserve">、</w:t>
      </w:r>
      <w:r>
        <w:rPr>
          <w:rFonts w:ascii="仿宋" w:hAnsi="仿宋" w:eastAsia="仿宋" w:cs="仿宋"/>
          <w:color w:val="000000"/>
          <w:sz w:val="28"/>
        </w:rPr>
        <w:t xml:space="preserve">双方在验收中，如果发现货物清单内容或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4.8</w:t>
      </w:r>
      <w:r>
        <w:rPr>
          <w:rFonts w:ascii="仿宋" w:hAnsi="仿宋" w:eastAsia="仿宋" w:cs="仿宋"/>
          <w:color w:val="000000"/>
          <w:sz w:val="28"/>
        </w:rPr>
        <w:t xml:space="preserve">、</w:t>
      </w:r>
      <w:r>
        <w:rPr>
          <w:rFonts w:ascii="仿宋" w:hAnsi="仿宋" w:eastAsia="仿宋" w:cs="仿宋"/>
          <w:color w:val="000000"/>
          <w:sz w:val="28"/>
        </w:rPr>
        <w:t xml:space="preserve">如甲方未按规定期限提出书面异议的，视为所交货物符合合同规定，但货物存在隐蔽瑕疵或者对质量保证期另有规定的除外。</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4.9乙方在接到甲方书面异议后，应在三日内提出处理意见，否则，即视为默认甲方提出的异议和处理意见，乙方应照此执行。</w:t>
      </w:r>
      <w:r/>
    </w:p>
    <w:p>
      <w:pPr>
        <w:pStyle w:val="988"/>
        <w:ind w:left="480"/>
        <w:spacing w:before="0" w:beforeAutospacing="0" w:after="0" w:afterAutospacing="0"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5. 安装、调试</w:t>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w:t>
      </w:r>
      <w:r>
        <w:rPr>
          <w:rFonts w:ascii="仿宋" w:hAnsi="仿宋" w:eastAsia="仿宋" w:cs="仿宋"/>
          <w:color w:val="000000"/>
          <w:sz w:val="28"/>
        </w:rPr>
        <w:t xml:space="preserve">1设备到货验收后，乙方3日内派具备符合国家规定的具备相应资质的人员到达现场负责设备的免费安装和调试。设备安装时，乙方必须事先与甲方联系，并邀请各养老机构运营方共同参与，否则引起的一切责任由乙方承担。</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5.2乙方提供设备安装和维修所需的专用工具和辅助材料。</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5.4甲方对设备试用后进行验收，乙方派工程师到达现场共同验收工作。乙方需提供设备的出厂检验报告、合格证书、装箱单，并且预先提供验收标准，填写验收报告书，供双方最终确认所用。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5.7乙方免费提供全套技术资料（产品使用手册、维修说明书、操作说明书等），如技术资料不全，甲方有权不支付货款。</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5.8 如乙方提供的设备设有维修软件密码，乙方应保证无条件地为甲方永久免费打开。</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5.10乙方所供设备如验收不合格，根据甲方的要求，乙方必须无条件换货或退货，由此引起的一切损失由乙方承担。</w:t>
      </w:r>
      <w:r/>
    </w:p>
    <w:p>
      <w:pPr>
        <w:ind w:firstLine="482"/>
        <w:spacing w:line="360" w:lineRule="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6. 付款方式</w:t>
      </w:r>
      <w:r/>
    </w:p>
    <w:p>
      <w:pPr>
        <w:ind w:firstLine="540"/>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6.1本合同总金额为人民币大写金额</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元（小写金额：</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元）。</w:t>
      </w:r>
      <w:r/>
    </w:p>
    <w:p>
      <w:pPr>
        <w:ind w:firstLine="542"/>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6.2经双方协商一致，选择以下第</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种付款方式：</w:t>
      </w:r>
      <w:r/>
    </w:p>
    <w:p>
      <w:pPr>
        <w:ind w:firstLine="540"/>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付款方式一：提交预付款保函的</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合同总价的百分之五十(50%)即￥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元整，在双方签订合同后15个工作日内，卖方向买方出具等额预付款保函后，由买方办理政府采购资金结算手续，经审核后支付给卖方。</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合同总价的百分之五十(50%)即￥</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元整，合同标的全部交付并安装完毕验收合格后15个工作日内，由买方办理政府采购资金结算手续，经审核后支付给卖方。</w:t>
      </w:r>
      <w:r/>
    </w:p>
    <w:p>
      <w:pPr>
        <w:ind w:firstLine="540"/>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付款方式二：不提交预付款保函的</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合同总价的百分之</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0%)即￥</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元整，在双方签订合同后15个工作日内，由买方办理政府采购资金结算手续，经审核后支付给卖方。</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合同总价的百分之</w:t>
      </w:r>
      <w:r>
        <w:rPr>
          <w:rFonts w:hint="eastAsia" w:ascii="仿宋" w:hAnsi="仿宋" w:eastAsia="仿宋" w:cs="仿宋"/>
          <w:color w:val="auto"/>
          <w:sz w:val="28"/>
          <w:szCs w:val="28"/>
          <w:highlight w:val="none"/>
          <w:lang w:val="en-US" w:eastAsia="zh-CN"/>
        </w:rPr>
        <w:t xml:space="preserve">七</w:t>
      </w: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0%)即￥</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元整，合同标的全部交付并安装完毕验收合格后15个工作日内，由买方办理政府采购资金结算手续，经审核后支付给卖方。</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6.3 乙方需提交的申请支付文件包括：</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（1）乙方出具的全额正式发票；</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（2）甲方出具的验收合格证明</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6.4  合同约定的乙方收款账户：</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开户银行：</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银行帐号：</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7.质量保证期及售后服务</w:t>
      </w:r>
      <w:r/>
    </w:p>
    <w:p>
      <w:pPr>
        <w:pStyle w:val="989"/>
        <w:ind w:firstLine="482"/>
        <w:spacing w:before="0" w:after="0" w:line="360" w:lineRule="auto"/>
        <w:shd w:val="clear" w:color="auto" w:fill="auto"/>
        <w:tabs>
          <w:tab w:val="left" w:pos="1009" w:leader="none"/>
        </w:tabs>
        <w:rPr>
          <w:rFonts w:ascii="仿宋" w:hAnsi="仿宋" w:eastAsia="仿宋" w:cs="仿宋"/>
          <w:bCs/>
          <w:color w:val="auto"/>
          <w:spacing w:val="0"/>
          <w:sz w:val="28"/>
          <w:szCs w:val="28"/>
          <w:highlight w:val="none"/>
        </w:rPr>
      </w:pPr>
      <w:r>
        <w:rPr>
          <w:rFonts w:hint="eastAsia" w:ascii="仿宋" w:hAnsi="仿宋" w:eastAsia="仿宋" w:cs="仿宋"/>
          <w:b/>
          <w:color w:val="auto"/>
          <w:spacing w:val="0"/>
          <w:sz w:val="28"/>
          <w:szCs w:val="28"/>
          <w:highlight w:val="none"/>
        </w:rPr>
        <w:t xml:space="preserve">7.1质量保证期：提供</w:t>
      </w:r>
      <w:r>
        <w:rPr>
          <w:rFonts w:hint="eastAsia" w:ascii="仿宋" w:hAnsi="仿宋" w:eastAsia="仿宋" w:cs="仿宋"/>
          <w:b/>
          <w:color w:val="auto"/>
          <w:spacing w:val="0"/>
          <w:sz w:val="28"/>
          <w:szCs w:val="28"/>
          <w:highlight w:val="none"/>
          <w:u w:val="single"/>
          <w:lang w:val="en-US" w:eastAsia="zh-CN"/>
        </w:rPr>
        <w:t xml:space="preserve">   </w:t>
      </w:r>
      <w:r>
        <w:rPr>
          <w:rFonts w:hint="eastAsia" w:ascii="仿宋" w:hAnsi="仿宋" w:eastAsia="仿宋" w:cs="仿宋"/>
          <w:b/>
          <w:color w:val="auto"/>
          <w:spacing w:val="0"/>
          <w:sz w:val="28"/>
          <w:szCs w:val="28"/>
          <w:highlight w:val="none"/>
        </w:rPr>
        <w:t xml:space="preserve">年原厂质保，从验收合格之日的次日算起，终身维护。</w:t>
      </w:r>
      <w:r/>
    </w:p>
    <w:p>
      <w:pPr>
        <w:pStyle w:val="989"/>
        <w:ind w:firstLine="520"/>
        <w:spacing w:before="0" w:after="0" w:line="360" w:lineRule="auto"/>
        <w:shd w:val="clear" w:color="auto" w:fill="auto"/>
        <w:tabs>
          <w:tab w:val="left" w:pos="1008"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bidi="zh-CN"/>
        </w:rPr>
        <w:t xml:space="preserve">7.2质保期内免费上门维修，质保期外免收维修费，仅收配件费；</w:t>
      </w:r>
      <w:r/>
    </w:p>
    <w:p>
      <w:pPr>
        <w:pStyle w:val="989"/>
        <w:ind w:firstLine="520"/>
        <w:spacing w:before="0" w:after="0" w:line="360" w:lineRule="auto"/>
        <w:shd w:val="clear" w:color="auto" w:fill="auto"/>
        <w:tabs>
          <w:tab w:val="left" w:pos="1028" w:leader="none"/>
        </w:tabs>
        <w:rPr>
          <w:rFonts w:ascii="仿宋" w:hAnsi="仿宋" w:eastAsia="仿宋" w:cs="仿宋"/>
          <w:b/>
          <w:color w:val="auto"/>
          <w:spacing w:val="0"/>
          <w:sz w:val="28"/>
          <w:szCs w:val="28"/>
          <w:highlight w:val="none"/>
        </w:rPr>
      </w:pPr>
      <w:r>
        <w:rPr>
          <w:rFonts w:hint="eastAsia" w:ascii="仿宋" w:hAnsi="仿宋" w:eastAsia="仿宋" w:cs="仿宋"/>
          <w:color w:val="auto"/>
          <w:sz w:val="28"/>
          <w:szCs w:val="28"/>
          <w:highlight w:val="none"/>
          <w:lang w:bidi="zh-CN"/>
        </w:rPr>
        <w:t xml:space="preserve">7.3</w:t>
      </w:r>
      <w:r>
        <w:rPr>
          <w:rFonts w:hint="eastAsia" w:ascii="仿宋" w:hAnsi="仿宋" w:eastAsia="仿宋" w:cs="仿宋"/>
          <w:color w:val="auto"/>
          <w:sz w:val="28"/>
          <w:szCs w:val="28"/>
          <w:highlight w:val="none"/>
          <w:lang w:val="zh-CN" w:bidi="zh-CN"/>
        </w:rPr>
        <w:t xml:space="preserve">乙方应按照国家有关法律法规规章和“三包”规定以及合同约定提供售后服务</w:t>
      </w:r>
      <w:r>
        <w:rPr>
          <w:rFonts w:hint="eastAsia" w:ascii="仿宋" w:hAnsi="仿宋" w:eastAsia="仿宋" w:cs="仿宋"/>
          <w:b/>
          <w:color w:val="auto"/>
          <w:spacing w:val="0"/>
          <w:sz w:val="28"/>
          <w:szCs w:val="28"/>
          <w:highlight w:val="none"/>
          <w:lang w:val="zh-CN" w:bidi="zh-CN"/>
        </w:rPr>
        <w:t xml:space="preserve">。在保修期内出现任何故障或者损坏，由乙方免费更换或修理（人为故意损坏除外）。</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7.4如设备发生故障，乙方在接到甲方报修电话后2小时内予以响应，24小时内到达现场解决问题。如有特殊情况，乙方应立即电话通知甲方不能响应的原因，在获得甲方同意后，才可推迟响应时间。</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7.5质保期内，设备如因故障维修超过2天，按1:2延长质保期（具体时间，按天数算）。</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7.6无论在质保期内还是质保期外，乙方必须上门维修。乙方未尽到维修质保义务的，甲方可以委托第三方维修，由此产生的费用甲方有权向乙方追偿。</w:t>
      </w:r>
      <w:r/>
    </w:p>
    <w:p>
      <w:pPr>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8. 技术培训</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安装过程中或安装结束后，乙方工程师或有关人员有义务对甲方工程师人员进行设备的基本结构、性能、主要部件的构造及处理，日常操作使用、日常维护和保养方法、常见故障的排除、安全注意事项及紧急情况的处理等内容的培训，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9．知识产权 </w:t>
      </w:r>
      <w:r/>
    </w:p>
    <w:p>
      <w:pPr>
        <w:pStyle w:val="1000"/>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00"/>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9.2本合同价包含所有应向所有权人支付的专利权、商标权或其它知识产权的一切相关费用。</w:t>
      </w:r>
      <w:r/>
    </w:p>
    <w:p>
      <w:pPr>
        <w:pStyle w:val="1000"/>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00"/>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10.违约责任</w:t>
      </w:r>
      <w:r/>
    </w:p>
    <w:p>
      <w:pPr>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10.1乙方的违约责任：</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10.1.2如果乙方未能按照合同规定的交货期限交货，乙方应按每天迟交合同标的金额的百分之一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如果乙方在合同规定的交货期限后十日内仍未能交付全部或部分标的，在不妨碍甲方采取其他救济手段的情况下，甲方可以向乙方发出书面违约通知从而全部或部分地终止合同。</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10.1.7合同规定应该偿付的违约金、赔偿金和各种经济损失，应当在明确责任后</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日</w:t>
      </w:r>
      <w:r>
        <w:rPr>
          <w:rFonts w:hint="eastAsia" w:ascii="仿宋" w:hAnsi="仿宋" w:eastAsia="仿宋" w:cs="仿宋"/>
          <w:color w:val="auto"/>
          <w:sz w:val="28"/>
          <w:szCs w:val="28"/>
          <w:highlight w:val="none"/>
        </w:rPr>
        <w:t xml:space="preserve">内付清，逾期按应支付金额的日万分之五计收利息。依据本合同乙方应向甲方支付前述款项的，甲方有权自行从应付合同总价款中扣除充抵。</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10.2甲方违约责任：</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10.2.1甲方逾期支付资金的，每逾期（10）天，甲方向乙方支付合同总价的（0.1）%的违约金，但违约金的总数不超过合同总金额的（1）%。</w:t>
      </w:r>
      <w:r/>
    </w:p>
    <w:p>
      <w:pPr>
        <w:ind w:firstLine="482"/>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11.不可抗力</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88"/>
        <w:ind w:firstLine="472"/>
        <w:spacing w:before="0" w:beforeAutospacing="0" w:after="0" w:afterAutospacing="0" w:line="360" w:lineRule="auto"/>
        <w:rPr>
          <w:rFonts w:ascii="仿宋" w:hAnsi="仿宋" w:eastAsia="仿宋" w:cs="仿宋"/>
          <w:b/>
          <w:color w:val="auto"/>
          <w:sz w:val="28"/>
          <w:szCs w:val="28"/>
          <w:highlight w:val="none"/>
        </w:rPr>
      </w:pPr>
      <w:r>
        <w:rPr>
          <w:rFonts w:hint="eastAsia" w:ascii="仿宋" w:hAnsi="仿宋" w:eastAsia="仿宋" w:cs="仿宋"/>
          <w:b/>
          <w:bCs/>
          <w:color w:val="auto"/>
          <w:sz w:val="28"/>
          <w:szCs w:val="28"/>
          <w:highlight w:val="none"/>
        </w:rPr>
        <w:t xml:space="preserve">12.</w:t>
      </w:r>
      <w:r>
        <w:rPr>
          <w:rFonts w:hint="eastAsia" w:ascii="仿宋" w:hAnsi="仿宋" w:eastAsia="仿宋" w:cs="仿宋"/>
          <w:b/>
          <w:color w:val="auto"/>
          <w:sz w:val="28"/>
          <w:szCs w:val="28"/>
          <w:highlight w:val="none"/>
        </w:rPr>
        <w:t xml:space="preserve">争议解决方法</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甲、乙双方因履行本合同发生争议时，应友好协商；协商不成时，向甲方所在地人民法院提出诉讼。</w:t>
      </w:r>
      <w:r/>
    </w:p>
    <w:p>
      <w:pPr>
        <w:ind w:firstLine="480"/>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13.其它</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13.2本合同壹式</w:t>
      </w:r>
      <w:r>
        <w:rPr>
          <w:rFonts w:hint="eastAsia" w:ascii="仿宋" w:hAnsi="仿宋" w:eastAsia="仿宋" w:cs="仿宋"/>
          <w:color w:val="auto"/>
          <w:sz w:val="28"/>
          <w:szCs w:val="28"/>
          <w:highlight w:val="none"/>
          <w:u w:val="single"/>
        </w:rPr>
        <w:t xml:space="preserve">4</w:t>
      </w:r>
      <w:r>
        <w:rPr>
          <w:rFonts w:hint="eastAsia" w:ascii="仿宋" w:hAnsi="仿宋" w:eastAsia="仿宋" w:cs="仿宋"/>
          <w:color w:val="auto"/>
          <w:sz w:val="28"/>
          <w:szCs w:val="28"/>
          <w:highlight w:val="none"/>
        </w:rPr>
        <w:t xml:space="preserve">份，甲方执</w:t>
      </w:r>
      <w:r>
        <w:rPr>
          <w:rFonts w:hint="eastAsia" w:ascii="仿宋" w:hAnsi="仿宋" w:eastAsia="仿宋" w:cs="仿宋"/>
          <w:color w:val="auto"/>
          <w:sz w:val="28"/>
          <w:szCs w:val="28"/>
          <w:highlight w:val="none"/>
          <w:u w:val="single"/>
        </w:rPr>
        <w:t xml:space="preserve">2</w:t>
      </w:r>
      <w:r>
        <w:rPr>
          <w:rFonts w:hint="eastAsia" w:ascii="仿宋" w:hAnsi="仿宋" w:eastAsia="仿宋" w:cs="仿宋"/>
          <w:color w:val="auto"/>
          <w:sz w:val="28"/>
          <w:szCs w:val="28"/>
          <w:highlight w:val="none"/>
        </w:rPr>
        <w:t xml:space="preserve">份，乙方执</w:t>
      </w:r>
      <w:r>
        <w:rPr>
          <w:rFonts w:hint="eastAsia" w:ascii="仿宋" w:hAnsi="仿宋" w:eastAsia="仿宋" w:cs="仿宋"/>
          <w:color w:val="auto"/>
          <w:sz w:val="28"/>
          <w:szCs w:val="28"/>
          <w:highlight w:val="none"/>
          <w:u w:val="single"/>
        </w:rPr>
        <w:t xml:space="preserve">1</w:t>
      </w:r>
      <w:r>
        <w:rPr>
          <w:rFonts w:hint="eastAsia" w:ascii="仿宋" w:hAnsi="仿宋" w:eastAsia="仿宋" w:cs="仿宋"/>
          <w:color w:val="auto"/>
          <w:sz w:val="28"/>
          <w:szCs w:val="28"/>
          <w:highlight w:val="none"/>
        </w:rPr>
        <w:t xml:space="preserve">份，备案1份。</w:t>
      </w:r>
      <w:r/>
    </w:p>
    <w:p>
      <w:pPr>
        <w:spacing w:line="360" w:lineRule="auto"/>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b/>
          <w:bCs/>
          <w:color w:val="auto"/>
          <w:sz w:val="28"/>
          <w:szCs w:val="28"/>
          <w:highlight w:val="none"/>
        </w:rPr>
        <w:t xml:space="preserve">  14.合同附件</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（下页为合同签署页）</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                         法定代表人：                         </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                         委托代理人: </w:t>
      </w:r>
      <w:r/>
    </w:p>
    <w:p>
      <w:pPr>
        <w:ind w:left="6000" w:hanging="6000"/>
        <w:jc w:val="left"/>
        <w:spacing w:line="360" w:lineRule="auto"/>
        <w:tabs>
          <w:tab w:val="left" w:pos="4671"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地址： </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                             电 话：</w:t>
      </w:r>
      <w:r/>
    </w:p>
    <w:p>
      <w:pPr>
        <w:ind w:left="4556" w:hanging="31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开 户 行：</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账 号：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28"/>
          <w:szCs w:val="28"/>
          <w:highlight w:val="none"/>
        </w:rPr>
        <w:t xml:space="preserve">签订日期：                           签订日期： </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60" w:lineRule="auto"/>
        <w:rPr>
          <w:rFonts w:ascii="仿宋" w:hAnsi="仿宋" w:eastAsia="仿宋" w:cs="仿宋"/>
          <w:color w:val="auto"/>
          <w:sz w:val="32"/>
          <w:szCs w:val="32"/>
          <w:highlight w:val="none"/>
        </w:rPr>
      </w:pPr>
      <w:r>
        <w:rPr>
          <w:rFonts w:hint="eastAsia" w:ascii="仿宋" w:hAnsi="仿宋" w:eastAsia="仿宋" w:cs="仿宋"/>
          <w:color w:val="auto"/>
          <w:sz w:val="24"/>
          <w:highlight w:val="none"/>
        </w:rPr>
        <w:br w:type="page" w:clear="all"/>
      </w:r>
      <w:r>
        <w:rPr>
          <w:rFonts w:hint="eastAsia" w:ascii="仿宋" w:hAnsi="仿宋" w:eastAsia="仿宋" w:cs="仿宋"/>
          <w:b/>
          <w:bCs/>
          <w:color w:val="auto"/>
          <w:sz w:val="32"/>
          <w:szCs w:val="32"/>
          <w:highlight w:val="none"/>
        </w:rPr>
        <w:t xml:space="preserve">合同附件</w:t>
      </w:r>
      <w:r/>
    </w:p>
    <w:p>
      <w:pPr>
        <w:jc w:val="left"/>
        <w:spacing w:line="360" w:lineRule="auto"/>
        <w:tabs>
          <w:tab w:val="left" w:pos="7506" w:leader="none"/>
        </w:tabs>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目录</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合同附件1：合同协议书</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合同附件2：技术规格和技术性能</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(要求见招标文件第六章《采购需求》；</w:t>
      </w:r>
      <w:r>
        <w:rPr>
          <w:rFonts w:hint="eastAsia" w:ascii="仿宋" w:hAnsi="仿宋" w:eastAsia="仿宋" w:cs="仿宋"/>
          <w:b/>
          <w:bCs/>
          <w:color w:val="auto"/>
          <w:sz w:val="28"/>
          <w:szCs w:val="28"/>
          <w:highlight w:val="none"/>
        </w:rPr>
        <w:t xml:space="preserve">合同见卖方投标文件中《技术规格说明》。)</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合同附件3：售后服务和技术培训</w:t>
      </w:r>
      <w:r/>
    </w:p>
    <w:p>
      <w:pPr>
        <w:spacing w:line="360" w:lineRule="auto"/>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(要求见招标文件第六章《采购需求》；合同见卖方投标文件中</w:t>
      </w:r>
      <w:r>
        <w:rPr>
          <w:rFonts w:hint="eastAsia" w:ascii="仿宋" w:hAnsi="仿宋" w:eastAsia="仿宋" w:cs="仿宋"/>
          <w:b/>
          <w:bCs/>
          <w:color w:val="auto"/>
          <w:sz w:val="28"/>
          <w:szCs w:val="28"/>
          <w:highlight w:val="none"/>
        </w:rPr>
        <w:t xml:space="preserve">《售后服务方案》和《培训方案》。)</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合同附件4：供货范围和价格清单</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(要求见招标文件第七章《投标文件相关格式》中《开标一览表》和《分项价格表》；合同见卖方投标文件中《开标一览表》和《分项价格表》。)</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合同附件5：</w:t>
      </w:r>
      <w:r>
        <w:rPr>
          <w:rFonts w:ascii="仿宋" w:hAnsi="仿宋" w:eastAsia="仿宋" w:cs="仿宋"/>
          <w:color w:val="000000"/>
          <w:sz w:val="28"/>
        </w:rPr>
        <w:t xml:space="preserve">验收通知单和履约验收书</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合同附件6：采购需求</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(见招标文件第六章《采购需求》。)</w:t>
      </w:r>
      <w:r/>
    </w:p>
    <w:p>
      <w:pPr>
        <w:pStyle w:val="78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81"/>
      </w:pPr>
      <w:r/>
      <w:r/>
    </w:p>
    <w:p>
      <w:pPr>
        <w:spacing w:line="360" w:lineRule="auto"/>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合同附件1：</w:t>
      </w:r>
      <w:r/>
    </w:p>
    <w:p>
      <w:pPr>
        <w:jc w:val="center"/>
        <w:spacing w:line="360" w:lineRule="auto"/>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合同协议书</w:t>
      </w:r>
      <w:r/>
    </w:p>
    <w:p>
      <w:pPr>
        <w:jc w:val="right"/>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合同编号:____________ </w:t>
      </w:r>
      <w:r/>
    </w:p>
    <w:p>
      <w:pPr>
        <w:jc w:val="right"/>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签字日期:____________ </w:t>
      </w:r>
      <w:r/>
    </w:p>
    <w:p>
      <w:pPr>
        <w:jc w:val="right"/>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签字地点:____________ </w:t>
      </w:r>
      <w:r/>
    </w:p>
    <w:p>
      <w:pPr>
        <w:ind w:firstLine="359"/>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（买方名称）（以下简称“买方”）已接受</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（卖方名称）（以下简称“卖方”）对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（项目名称）（项目编号：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）的投标。买方和卖方共同达成如下协议。</w:t>
      </w:r>
      <w:r/>
    </w:p>
    <w:p>
      <w:pPr>
        <w:numPr>
          <w:ilvl w:val="0"/>
          <w:numId w:val="6"/>
        </w:num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本合同协议书中的词语和术语的含义与合同条款中定义的相同。</w:t>
      </w:r>
      <w:r/>
    </w:p>
    <w:p>
      <w:pPr>
        <w:ind w:firstLine="3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以下文件应构成买方和卖方之间达成的合同，若各文件之间存在含糊不清或互相冲突之处，优先顺序应按下列文件顺序解释。</w:t>
      </w:r>
      <w:r/>
    </w:p>
    <w:p>
      <w:pPr>
        <w:ind w:left="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合同协议书</w:t>
      </w:r>
      <w:r/>
    </w:p>
    <w:p>
      <w:pPr>
        <w:ind w:left="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中标通知书</w:t>
      </w:r>
      <w:r/>
    </w:p>
    <w:p>
      <w:pPr>
        <w:ind w:left="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合同专用条款</w:t>
      </w:r>
      <w:r/>
    </w:p>
    <w:p>
      <w:pPr>
        <w:ind w:left="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 合同通用条款</w:t>
      </w:r>
      <w:r/>
    </w:p>
    <w:p>
      <w:pPr>
        <w:ind w:left="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 除合同附件1外的合同附件</w:t>
      </w:r>
      <w:r/>
    </w:p>
    <w:p>
      <w:pPr>
        <w:ind w:left="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 其他文件</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考虑到买方将按照本合同向卖方支付合同价款，卖方在此保证全部按照合同的规定向买方提供合同标的、技术资料、售后服务及技术培训。</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 考虑到卖方将按合同规定提供合同标的、技术资料、售后服务及技术培训，买方在此保证按照合同规定的时间和方式向卖方支付合同价款。</w:t>
      </w:r>
      <w:r/>
    </w:p>
    <w:p>
      <w:pPr>
        <w:ind w:firstLine="5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 本合同在下列条件全部满足后生效，生效日期以下列条件全部满足的最晚日期为准： </w:t>
      </w:r>
      <w:r/>
    </w:p>
    <w:p>
      <w:pPr>
        <w:ind w:firstLine="480"/>
        <w:jc w:val="left"/>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（1）双方加盖公章或合同专用章； </w:t>
      </w:r>
      <w:r/>
    </w:p>
    <w:p>
      <w:pPr>
        <w:ind w:firstLine="480"/>
        <w:jc w:val="left"/>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甲方收到乙方交纳的人民币___元的履约保证金（合同金额的10%），以支票、汇票、本票或者金融机构、担保机构出具的保函等非现金形式缴纳。履约保证金在中标供应商按合同履约完成、试运行满12个月后无质量问题后无息退还。</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 合同一式</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份，具有同等法律效力，买方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份，卖方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份。</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7.本合同其他未尽事宜及与采购文件有矛盾之处，以采购文件[项目编号：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]为准。</w:t>
      </w:r>
      <w:r/>
    </w:p>
    <w:p>
      <w:pPr>
        <w:ind w:firstLine="3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买方和卖方由其正式授权代表于上述所写日期和地点签订本合同。</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买方（签章）：____________________________________  </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法定代表人或授权代表(签名)： ____________________ </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卖方（签章）： ____________________________________ </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法定代表人或授权代表(签名)： ____________________ </w:t>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2"/>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第六章  采购需求</w:t>
      </w:r>
      <w:r/>
    </w:p>
    <w:p>
      <w:pPr>
        <w:ind w:firstLine="482"/>
        <w:spacing w:after="0" w:line="360" w:lineRule="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一、说明</w:t>
      </w:r>
      <w:r/>
    </w:p>
    <w:p>
      <w:pPr>
        <w:ind w:firstLine="482"/>
        <w:spacing w:after="0"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（一）采购人：徐州市铜山区民政局（机关）（机关）</w:t>
      </w:r>
      <w:r/>
    </w:p>
    <w:p>
      <w:pPr>
        <w:ind w:firstLine="482"/>
        <w:spacing w:after="0"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（二）采购项目名称：区域养老服务中心医养结合提升项目（一期）医疗、康复等相关运营设备采购</w:t>
      </w:r>
      <w:r/>
    </w:p>
    <w:p>
      <w:pPr>
        <w:ind w:firstLine="482"/>
        <w:spacing w:after="0" w:line="360" w:lineRule="auto"/>
        <w:rPr>
          <w:rFonts w:hint="eastAsia" w:ascii="仿宋" w:hAnsi="仿宋" w:eastAsia="仿宋" w:cs="仿宋"/>
          <w:sz w:val="28"/>
          <w:szCs w:val="28"/>
          <w:lang w:eastAsia="zh-CN"/>
        </w:rPr>
      </w:pPr>
      <w:r>
        <w:rPr>
          <w:rFonts w:hint="eastAsia" w:ascii="仿宋" w:hAnsi="仿宋" w:eastAsia="仿宋" w:cs="仿宋"/>
          <w:b/>
          <w:bCs/>
          <w:color w:val="auto"/>
          <w:sz w:val="28"/>
          <w:szCs w:val="28"/>
          <w:lang w:val="en-US" w:eastAsia="zh-CN"/>
        </w:rPr>
        <w:t xml:space="preserve">二、采购清单及采购项目预算金额</w:t>
      </w:r>
      <w:r/>
    </w:p>
    <w:tbl>
      <w:tblPr>
        <w:tblStyle w:val="780"/>
        <w:tblpPr w:horzAnchor="page" w:tblpX="1342" w:vertAnchor="text" w:tblpY="639" w:leftFromText="180" w:topFromText="0" w:rightFromText="180" w:bottomFromText="0"/>
        <w:tblW w:w="98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5"/>
        <w:gridCol w:w="2860"/>
        <w:gridCol w:w="870"/>
        <w:gridCol w:w="930"/>
        <w:gridCol w:w="960"/>
        <w:gridCol w:w="960"/>
        <w:gridCol w:w="855"/>
        <w:gridCol w:w="1755"/>
      </w:tblGrid>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86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设备名称</w:t>
            </w:r>
            <w:r/>
          </w:p>
        </w:tc>
        <w:tc>
          <w:tcPr>
            <w:gridSpan w:val="5"/>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采购预算单价(万元)</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2860" w:type="dxa"/>
            <w:vAlign w:val="center"/>
            <w:vMerge w:val="continue"/>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刘集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张集</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何桥</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利国</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36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除颤监护仪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污水处理设备</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20</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移动紫外线消毒灯</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0.05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心电图</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心电监护仪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治疗车</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抢救车</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吸引器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药柜</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血细胞分析仪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9.5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尿分析仪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彩超</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40</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担架车</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0.2</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床边可移动升降餐桌</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助浴椅</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0.05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助浴床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轮椅</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0.07</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医用制氧机10升</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0.63</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烘干机(50kg)</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2.7</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半导体治疗仪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3.2</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电脑中频治疗仪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0.83</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经皮神经电刺激仪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1.2</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超声波治疗仪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1.65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磁振热治疗仪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3.6</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立体动态干扰电治疗仪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2.7</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微波治疗仪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3.9</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红外光灸疗机</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颈腰椎多功能牵引床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4.38</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多关节主被动训练仪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7.87</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OT综合治疗桌</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0.8</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PT训练床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0.15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多体位医用诊疗床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0.13</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电针治疗仪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0.08</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电动多体位医用诊疗床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1.8</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深层肌肉刺激仪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6.48</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磁疗康复仪（带激光）</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18</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饮用水设备</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1.2</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床单元(床上用品)</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690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护理床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0.2</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无创呼吸机</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3.04</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关节康复器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3.2</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42</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适老无障碍化餐桌椅（可供 10 人就餐）</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0.2</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43</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洗衣机</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18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38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0.5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44</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静脉穿刺定位仪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0.11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45</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全自动护理床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1.5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46</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心电图工作站</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4</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47</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电子血压计</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12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12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0.04</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48</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医疗废弃物推车</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0.15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49</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电视机</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30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130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0.25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50</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洗澡间适老扶手</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300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300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0.01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51</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热水器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20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20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0.3</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52</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超声脉冲电导治疗仪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53</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中医定向透药治疗仪</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0.5</w:t>
            </w:r>
            <w:r/>
          </w:p>
        </w:tc>
      </w:tr>
      <w:tr>
        <w:trPr>
          <w:trHeight w:val="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54</w:t>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熏蒸治疗机</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2.8</w:t>
            </w:r>
            <w:r/>
          </w:p>
        </w:tc>
      </w:tr>
    </w:tbl>
    <w:p>
      <w:pPr>
        <w:ind w:firstLine="440"/>
        <w:jc w:val="both"/>
        <w:keepLines w:val="0"/>
        <w:keepNext w:val="0"/>
        <w:pageBreakBefore w:val="0"/>
        <w:spacing w:after="0" w:line="400" w:lineRule="exact"/>
        <w:widowControl w:val="off"/>
        <w:rPr>
          <w:rFonts w:hint="eastAsia" w:ascii="仿宋" w:hAnsi="仿宋" w:eastAsia="仿宋" w:cs="仿宋"/>
          <w:sz w:val="28"/>
          <w:szCs w:val="28"/>
          <w:lang w:val="en-US" w:eastAsia="en-US" w:bidi="ar-SA"/>
        </w:rPr>
      </w:pPr>
      <w:r>
        <w:rPr>
          <w:rFonts w:hint="eastAsia" w:ascii="仿宋" w:hAnsi="仿宋" w:eastAsia="仿宋" w:cs="仿宋"/>
          <w:sz w:val="28"/>
          <w:szCs w:val="28"/>
          <w:lang w:val="en-US" w:eastAsia="en-US" w:bidi="ar-SA"/>
        </w:rPr>
        <w:t xml:space="preserve">本次采购的为非进口产品。本项目不接受超过</w:t>
      </w:r>
      <w:r>
        <w:rPr>
          <w:rFonts w:hint="eastAsia" w:ascii="仿宋" w:hAnsi="仿宋" w:eastAsia="仿宋" w:cs="仿宋"/>
          <w:b/>
          <w:bCs/>
          <w:sz w:val="28"/>
          <w:szCs w:val="28"/>
          <w:lang w:val="en-US" w:eastAsia="en-US" w:bidi="ar-SA"/>
        </w:rPr>
        <w:t xml:space="preserve">682.46万元</w:t>
      </w:r>
      <w:r>
        <w:rPr>
          <w:rFonts w:hint="eastAsia" w:ascii="仿宋" w:hAnsi="仿宋" w:eastAsia="仿宋" w:cs="仿宋"/>
          <w:sz w:val="28"/>
          <w:szCs w:val="28"/>
          <w:lang w:val="en-US" w:eastAsia="en-US" w:bidi="ar-SA"/>
        </w:rPr>
        <w:t xml:space="preserve">（采购</w:t>
      </w:r>
      <w:r/>
    </w:p>
    <w:p>
      <w:pPr>
        <w:ind w:firstLine="440"/>
        <w:jc w:val="both"/>
        <w:keepLines w:val="0"/>
        <w:keepNext w:val="0"/>
        <w:pageBreakBefore w:val="0"/>
        <w:spacing w:after="0" w:line="400" w:lineRule="exact"/>
        <w:widowControl w:val="off"/>
        <w:rPr>
          <w:rFonts w:hint="eastAsia" w:ascii="仿宋" w:hAnsi="仿宋" w:eastAsia="仿宋" w:cs="仿宋"/>
          <w:b/>
          <w:bCs/>
          <w:color w:val="auto"/>
          <w:sz w:val="28"/>
          <w:szCs w:val="28"/>
          <w:lang w:val="en-US" w:eastAsia="zh-CN"/>
        </w:rPr>
      </w:pPr>
      <w:r>
        <w:rPr>
          <w:rFonts w:hint="eastAsia" w:ascii="仿宋" w:hAnsi="仿宋" w:eastAsia="仿宋" w:cs="仿宋"/>
          <w:sz w:val="28"/>
          <w:szCs w:val="28"/>
          <w:lang w:val="en-US" w:eastAsia="en-US" w:bidi="ar-SA"/>
        </w:rPr>
        <w:t xml:space="preserve">项目预算金额）的投标报价。</w:t>
      </w:r>
      <w:r>
        <w:rPr>
          <w:rFonts w:hint="eastAsia" w:ascii="仿宋" w:hAnsi="仿宋" w:eastAsia="仿宋" w:cs="仿宋"/>
          <w:b/>
          <w:bCs/>
          <w:color w:val="auto"/>
          <w:sz w:val="28"/>
          <w:szCs w:val="28"/>
          <w:highlight w:val="none"/>
          <w:lang w:val="en-US" w:eastAsia="zh-CN" w:bidi="ar-SA"/>
        </w:rPr>
        <w:t xml:space="preserve">每种设备报价不得超过其对应采购预算单价金额，否则投标无效。</w:t>
      </w:r>
      <w:r>
        <w:rPr>
          <w:rFonts w:hint="eastAsia" w:ascii="仿宋" w:hAnsi="仿宋" w:eastAsia="仿宋" w:cs="仿宋"/>
          <w:sz w:val="28"/>
          <w:szCs w:val="28"/>
          <w:lang w:val="en-US" w:eastAsia="en-US" w:bidi="ar-SA"/>
        </w:rPr>
        <w:t xml:space="preserve">报价包括产品价、税金、运费、安装调试、检验、保险、验收等全部费用。保修期内若发生故障免费更换所有有问题的零部件；所更换的零部件必须为新的原厂同型号匹配备件；所有的配件、人工、差旅、搬运、快递、安装调试及系统软件升级、相关技术支持及培训费用等全部费用包含在本次报价中，采购人不再额外支付任何费用。</w:t>
      </w:r>
      <w:r/>
    </w:p>
    <w:p>
      <w:pPr>
        <w:ind w:firstLine="482"/>
        <w:keepLines w:val="0"/>
        <w:keepNext w:val="0"/>
        <w:pageBreakBefore w:val="0"/>
        <w:spacing w:after="0" w:line="360" w:lineRule="auto"/>
        <w:tabs>
          <w:tab w:val="left" w:pos="3960" w:leader="none"/>
        </w:tabs>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r>
      <w:r/>
    </w:p>
    <w:p>
      <w:pPr>
        <w:numPr>
          <w:ilvl w:val="0"/>
          <w:numId w:val="7"/>
        </w:numPr>
        <w:ind w:left="0" w:firstLine="482"/>
        <w:keepLines w:val="0"/>
        <w:keepNext w:val="0"/>
        <w:pageBreakBefore w:val="0"/>
        <w:spacing w:after="0" w:line="360" w:lineRule="auto"/>
        <w:tabs>
          <w:tab w:val="left" w:pos="3960" w:leader="none"/>
        </w:tabs>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技术规格要求</w:t>
      </w:r>
      <w:r/>
    </w:p>
    <w:p>
      <w:pPr>
        <w:jc w:val="left"/>
        <w:spacing w:after="200" w:line="360" w:lineRule="auto"/>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一、除颤监护仪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1.标配手动除颤、心电监护功能</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2.体外除颤电极板手柄支持充电、放电、能量选择，具备充电完成指示灯。成人、小儿一体化电极板</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3.病人阻抗范围：25～200Ω</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4.显示屏≥5英寸, 分辨率≥640×480</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en-US"/>
        </w:rPr>
        <w:t xml:space="preserve">可显示≥3道监护参数波形。具备ECG波形同步储存功能，可记录数据</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en-US"/>
        </w:rPr>
        <w:t xml:space="preserve">关机状态下设备可自动运行自检，手动检测支持大能量自检、屏幕、按键检测。具备中文语音提示功能</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en-US"/>
        </w:rPr>
        <w:t xml:space="preserve">仪器使用年限≥5</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en-US"/>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en-US"/>
        </w:rPr>
        <w:t xml:space="preserve">带电时间：监护模式下≥4小时，单次满电下可支持≥30次除颤。</w:t>
      </w:r>
      <w:r/>
    </w:p>
    <w:p>
      <w:pPr>
        <w:ind w:firstLine="482"/>
        <w:jc w:val="left"/>
        <w:keepLines w:val="0"/>
        <w:keepNext w:val="0"/>
        <w:pageBreakBefore w:val="0"/>
        <w:spacing w:after="0" w:line="360" w:lineRule="auto"/>
        <w:widowControl/>
        <w:tabs>
          <w:tab w:val="left" w:pos="396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二、污水处理设备</w:t>
      </w:r>
      <w:r/>
    </w:p>
    <w:tbl>
      <w:tblPr>
        <w:tblStyle w:val="780"/>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395"/>
        <w:gridCol w:w="1860"/>
        <w:gridCol w:w="780"/>
        <w:gridCol w:w="716"/>
        <w:gridCol w:w="1200"/>
        <w:gridCol w:w="2528"/>
      </w:tblGrid>
      <w:tr>
        <w:trPr>
          <w:jc w:val="center"/>
          <w:trHeight w:val="510"/>
        </w:trPr>
        <w:tc>
          <w:tcPr>
            <w:shd w:val="clear" w:color="auto" w:fill="a8d08d"/>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序号</w:t>
            </w:r>
            <w:r/>
          </w:p>
        </w:tc>
        <w:tc>
          <w:tcPr>
            <w:shd w:val="clear" w:color="auto" w:fill="a8d08d"/>
            <w:tcW w:w="1395" w:type="dxa"/>
            <w:vAlign w:val="center"/>
            <w:textDirection w:val="lrTb"/>
            <w:noWrap w:val="false"/>
          </w:tcPr>
          <w:p>
            <w:pPr>
              <w:ind w:firstLine="280"/>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名称</w:t>
            </w:r>
            <w:r/>
          </w:p>
        </w:tc>
        <w:tc>
          <w:tcPr>
            <w:shd w:val="clear" w:color="auto" w:fill="a8d08d"/>
            <w:tcW w:w="1860" w:type="dxa"/>
            <w:vAlign w:val="center"/>
            <w:textDirection w:val="lrTb"/>
            <w:noWrap w:val="false"/>
          </w:tcPr>
          <w:p>
            <w:pPr>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规格型号</w:t>
            </w:r>
            <w:r/>
          </w:p>
        </w:tc>
        <w:tc>
          <w:tcPr>
            <w:shd w:val="clear" w:color="auto" w:fill="a8d08d"/>
            <w:tcW w:w="780" w:type="dxa"/>
            <w:vAlign w:val="center"/>
            <w:textDirection w:val="lrTb"/>
            <w:noWrap w:val="false"/>
          </w:tcPr>
          <w:p>
            <w:pPr>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数量</w:t>
            </w:r>
            <w:r/>
          </w:p>
        </w:tc>
        <w:tc>
          <w:tcPr>
            <w:shd w:val="clear" w:color="auto" w:fill="a8d08d"/>
            <w:tcW w:w="716" w:type="dxa"/>
            <w:vAlign w:val="center"/>
            <w:textDirection w:val="lrTb"/>
            <w:noWrap w:val="false"/>
          </w:tcPr>
          <w:p>
            <w:pPr>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单位</w:t>
            </w:r>
            <w:r/>
          </w:p>
        </w:tc>
        <w:tc>
          <w:tcPr>
            <w:shd w:val="clear" w:color="auto" w:fill="a8d08d"/>
            <w:tcW w:w="1200" w:type="dxa"/>
            <w:vAlign w:val="center"/>
            <w:textDirection w:val="lrTb"/>
            <w:noWrap w:val="false"/>
          </w:tcPr>
          <w:p>
            <w:pPr>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材质</w:t>
            </w:r>
            <w:r/>
          </w:p>
        </w:tc>
        <w:tc>
          <w:tcPr>
            <w:shd w:val="clear" w:color="auto" w:fill="a8d08d"/>
            <w:tcW w:w="2528" w:type="dxa"/>
            <w:vAlign w:val="center"/>
            <w:textDirection w:val="lrTb"/>
            <w:noWrap w:val="false"/>
          </w:tcPr>
          <w:p>
            <w:pPr>
              <w:ind w:firstLine="893"/>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备注</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一</w:t>
            </w:r>
            <w:r/>
          </w:p>
        </w:tc>
        <w:tc>
          <w:tcPr>
            <w:gridSpan w:val="5"/>
            <w:tcW w:w="5951"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调节池（碳钢防腐）</w:t>
            </w:r>
            <w:r/>
          </w:p>
        </w:tc>
        <w:tc>
          <w:tcPr>
            <w:tcW w:w="2528"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tc>
      </w:tr>
      <w:tr>
        <w:trPr>
          <w:jc w:val="center"/>
          <w:trHeight w:val="741"/>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调节池（含格栅池）</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尺寸：3000x2000x2500mm</w:t>
            </w:r>
            <w:r/>
          </w:p>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(含检查孔）</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碳钢防腐钢板5个厚</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采用环氧防腐工艺，环氧防腐：环氧富锌底漆、环氧煤沥青底漆、环氧煤沥青防腐</w:t>
            </w:r>
            <w:r/>
          </w:p>
        </w:tc>
      </w:tr>
      <w:tr>
        <w:trPr>
          <w:jc w:val="center"/>
          <w:trHeight w:val="1171"/>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污水提升泵</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WQ5-8-0.37kw</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台</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铸铁</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污水提升，实现自动化及进水量稳定</w:t>
            </w:r>
            <w:r/>
          </w:p>
        </w:tc>
      </w:tr>
      <w:tr>
        <w:trPr>
          <w:jc w:val="center"/>
          <w:trHeight w:val="1083"/>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液位控制</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浮球液位控制器</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台</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浮球式液位计，开关量型号输出</w:t>
            </w:r>
            <w:r/>
          </w:p>
        </w:tc>
      </w:tr>
      <w:tr>
        <w:trPr>
          <w:jc w:val="center"/>
          <w:trHeight w:val="765"/>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人工格栅</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500x500x500</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不锈钢</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提篮格栅，定期清理污水中杂物</w:t>
            </w:r>
            <w:r/>
          </w:p>
        </w:tc>
      </w:tr>
      <w:tr>
        <w:trPr>
          <w:jc w:val="center"/>
          <w:trHeight w:val="1035"/>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流量计</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电磁流量计</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精确测量流量，实现流量控制与调节</w:t>
            </w:r>
            <w:r/>
          </w:p>
        </w:tc>
      </w:tr>
      <w:tr>
        <w:trPr>
          <w:jc w:val="center"/>
          <w:trHeight w:val="129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二</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一体化污水处理设备</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Q235碳钢材质，内外环氧沥青防腐；</w:t>
            </w:r>
            <w:r/>
          </w:p>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主体尺寸：6000×2000×2000mm</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采用环氧防腐工艺，环氧防腐：环氧富锌底漆、环氧煤沥青底漆、环氧煤沥青防腐</w:t>
            </w:r>
            <w:r/>
          </w:p>
        </w:tc>
      </w:tr>
      <w:tr>
        <w:trPr>
          <w:jc w:val="center"/>
          <w:trHeight w:val="105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设备人孔</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500x500x500</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采用环氧防腐工艺，环氧防腐：环氧富锌底漆、环氧煤沥青底漆、环氧煤沥青防腐</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①</w:t>
            </w:r>
            <w:r/>
          </w:p>
        </w:tc>
        <w:tc>
          <w:tcPr>
            <w:gridSpan w:val="5"/>
            <w:tcW w:w="5951"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缺氧池（一体化设备内部）</w:t>
            </w:r>
            <w:r/>
          </w:p>
        </w:tc>
        <w:tc>
          <w:tcPr>
            <w:tcW w:w="2528"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组合填料</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ф150，聚乙烯材质</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聚乙烯材质</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配套填料支架</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填料支架</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组合件,环氧沥青防腐</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组合填料配套</w:t>
            </w:r>
            <w:r/>
          </w:p>
        </w:tc>
      </w:tr>
      <w:tr>
        <w:trPr>
          <w:jc w:val="center"/>
          <w:trHeight w:val="455"/>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布水器</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Ф50，PVC</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组合填料配套</w:t>
            </w:r>
            <w:r/>
          </w:p>
        </w:tc>
      </w:tr>
      <w:tr>
        <w:trPr>
          <w:jc w:val="center"/>
          <w:trHeight w:val="44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槽钢加固</w:t>
            </w:r>
            <w:r/>
          </w:p>
        </w:tc>
        <w:tc>
          <w:tcPr>
            <w:tcW w:w="1860" w:type="dxa"/>
            <w:vAlign w:val="center"/>
            <w:textDirection w:val="lrTb"/>
            <w:noWrap w:val="false"/>
          </w:tcPr>
          <w:p>
            <w:pPr>
              <w:ind w:firstLine="482"/>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池体加固</w:t>
            </w:r>
            <w:r/>
          </w:p>
        </w:tc>
      </w:tr>
      <w:tr>
        <w:trPr>
          <w:jc w:val="center"/>
          <w:trHeight w:val="47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②</w:t>
            </w:r>
            <w:r/>
          </w:p>
        </w:tc>
        <w:tc>
          <w:tcPr>
            <w:gridSpan w:val="5"/>
            <w:tcW w:w="5951"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接触氧化池（一体化设备内部）</w:t>
            </w:r>
            <w:r/>
          </w:p>
        </w:tc>
        <w:tc>
          <w:tcPr>
            <w:tcW w:w="2528"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组合填料</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ф150，聚乙烯材质</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聚乙烯材质</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配套填料支架</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填料支架</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组合件,环氧沥青防腐</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组合填料配套</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槽钢加固</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池体加固</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膜片曝气器</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BQ-215-0.3 Φ215</w:t>
            </w:r>
            <w:r/>
          </w:p>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服务面积：0.3 m2/套， ABS材质。</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ABS</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提供氧气，搅拌混合，防止污泥沉降，提高传质效率</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曝气管道</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DN  40</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ABS</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配套曝气管道</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③</w:t>
            </w:r>
            <w:r/>
          </w:p>
        </w:tc>
        <w:tc>
          <w:tcPr>
            <w:gridSpan w:val="5"/>
            <w:tcW w:w="5951"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二沉池（一体化设备内部）</w:t>
            </w:r>
            <w:r/>
          </w:p>
        </w:tc>
        <w:tc>
          <w:tcPr>
            <w:tcW w:w="2528"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tc>
      </w:tr>
      <w:tr>
        <w:trPr>
          <w:jc w:val="center"/>
          <w:trHeight w:val="42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污泥回流泵</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WQ5-8-0.37kw</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铸铁</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钢丝软管连接，潜污泵</w:t>
            </w:r>
            <w:r/>
          </w:p>
        </w:tc>
      </w:tr>
      <w:tr>
        <w:trPr>
          <w:jc w:val="center"/>
          <w:trHeight w:val="407"/>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剩余污泥泵</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WQ5-8-0.37kw</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铸铁</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钢丝软管连接，潜污泵</w:t>
            </w:r>
            <w:r/>
          </w:p>
        </w:tc>
      </w:tr>
      <w:tr>
        <w:trPr>
          <w:jc w:val="center"/>
          <w:trHeight w:val="39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溢流堰</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齿形溢流堰</w:t>
            </w:r>
            <w:r/>
          </w:p>
        </w:tc>
      </w:tr>
      <w:tr>
        <w:trPr>
          <w:jc w:val="center"/>
          <w:trHeight w:val="42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中心稳流管</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DN100</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中心导流筒配套型材</w:t>
            </w:r>
            <w:r/>
          </w:p>
        </w:tc>
      </w:tr>
      <w:tr>
        <w:trPr>
          <w:jc w:val="center"/>
          <w:trHeight w:val="39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支架</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中心导流筒配套型材</w:t>
            </w:r>
            <w:r/>
          </w:p>
        </w:tc>
      </w:tr>
      <w:tr>
        <w:trPr>
          <w:jc w:val="center"/>
          <w:trHeight w:val="42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反射板</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配套中心导流筒</w:t>
            </w:r>
            <w:r/>
          </w:p>
        </w:tc>
      </w:tr>
      <w:tr>
        <w:trPr>
          <w:jc w:val="center"/>
          <w:trHeight w:val="452"/>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槽钢加固</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池体加固</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④</w:t>
            </w:r>
            <w:r/>
          </w:p>
        </w:tc>
        <w:tc>
          <w:tcPr>
            <w:gridSpan w:val="5"/>
            <w:tcW w:w="5951"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消毒池（一体化设内部）</w:t>
            </w:r>
            <w:r/>
          </w:p>
        </w:tc>
        <w:tc>
          <w:tcPr>
            <w:tcW w:w="2528"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消毒管道</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配套</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保证消毒药剂接触时间</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三</w:t>
            </w:r>
            <w:r/>
          </w:p>
        </w:tc>
        <w:tc>
          <w:tcPr>
            <w:gridSpan w:val="5"/>
            <w:tcW w:w="5951"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污泥池（碳钢防腐）</w:t>
            </w:r>
            <w:r/>
          </w:p>
        </w:tc>
        <w:tc>
          <w:tcPr>
            <w:tcW w:w="2528"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tc>
      </w:tr>
      <w:tr>
        <w:trPr>
          <w:jc w:val="center"/>
          <w:trHeight w:val="759"/>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污泥池</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尺寸：2500x2000x2500mm</w:t>
            </w:r>
            <w:r>
              <w:rPr>
                <w:rFonts w:hint="eastAsia" w:ascii="宋体" w:hAnsi="宋体" w:eastAsia="宋体" w:cs="宋体"/>
                <w:b w:val="0"/>
                <w:bCs w:val="0"/>
                <w:color w:val="auto"/>
                <w:sz w:val="24"/>
                <w:szCs w:val="24"/>
                <w:lang w:val="en-US" w:eastAsia="zh-CN"/>
              </w:rPr>
              <w:br/>
            </w:r>
            <w:r>
              <w:rPr>
                <w:rFonts w:hint="eastAsia" w:ascii="宋体" w:hAnsi="宋体" w:eastAsia="宋体" w:cs="宋体"/>
                <w:b w:val="0"/>
                <w:bCs w:val="0"/>
                <w:color w:val="auto"/>
                <w:sz w:val="24"/>
                <w:szCs w:val="24"/>
                <w:lang w:val="en-US" w:eastAsia="zh-CN"/>
              </w:rPr>
              <w:t xml:space="preserve">（含检查孔）</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座</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碳钢防腐</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采用环氧防腐工艺，环氧防腐：环氧富锌底漆、环氧煤沥青底漆、环氧煤沥青防腐</w:t>
            </w:r>
            <w:r/>
          </w:p>
        </w:tc>
      </w:tr>
      <w:tr>
        <w:trPr>
          <w:jc w:val="center"/>
          <w:trHeight w:val="514"/>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四</w:t>
            </w:r>
            <w:r/>
          </w:p>
        </w:tc>
        <w:tc>
          <w:tcPr>
            <w:gridSpan w:val="5"/>
            <w:tcW w:w="5951"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设备间（地上砖混）</w:t>
            </w:r>
            <w:r/>
          </w:p>
        </w:tc>
        <w:tc>
          <w:tcPr>
            <w:tcW w:w="2528" w:type="dxa"/>
            <w:vAlign w:val="center"/>
            <w:textDirection w:val="lrTb"/>
            <w:noWrap w:val="false"/>
          </w:tcPr>
          <w:p>
            <w:pPr>
              <w:ind w:firstLine="482"/>
              <w:jc w:val="center"/>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tc>
      </w:tr>
      <w:tr>
        <w:trPr>
          <w:jc w:val="center"/>
          <w:trHeight w:val="1107"/>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电控箱</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手自动控制箱</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碳钢喷塑</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启动与停止控制；保护功能</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回转风机</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HC40S</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台</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铸铁</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供气系统配套</w:t>
            </w:r>
            <w:r/>
          </w:p>
        </w:tc>
      </w:tr>
      <w:tr>
        <w:trPr>
          <w:jc w:val="center"/>
          <w:trHeight w:val="510"/>
        </w:trPr>
        <w:tc>
          <w:tcPr>
            <w:tcW w:w="619"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p>
        </w:tc>
        <w:tc>
          <w:tcPr>
            <w:tcW w:w="1395"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消毒设备</w:t>
            </w:r>
            <w:r/>
          </w:p>
        </w:tc>
        <w:tc>
          <w:tcPr>
            <w:tcW w:w="186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二氧化氯消毒</w:t>
            </w:r>
            <w:r/>
          </w:p>
        </w:tc>
        <w:tc>
          <w:tcPr>
            <w:tcW w:w="78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16"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套</w:t>
            </w:r>
            <w:r/>
          </w:p>
        </w:tc>
        <w:tc>
          <w:tcPr>
            <w:tcW w:w="1200"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UPVC</w:t>
            </w:r>
            <w:r/>
          </w:p>
        </w:tc>
        <w:tc>
          <w:tcPr>
            <w:tcW w:w="2528" w:type="dxa"/>
            <w:vAlign w:val="center"/>
            <w:textDirection w:val="lrTb"/>
            <w:noWrap w:val="false"/>
          </w:tcPr>
          <w:p>
            <w:pPr>
              <w:jc w:val="both"/>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消毒池配套</w:t>
            </w:r>
            <w:r/>
          </w:p>
        </w:tc>
      </w:tr>
    </w:tbl>
    <w:p>
      <w:pPr>
        <w:ind w:firstLine="482"/>
        <w:jc w:val="left"/>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注：安装事宜可委托具备环保工程专业承包叁级及以上资质的企业负责，其安装企业的项目负责人具备机电工程贰级及以上注册建造师资格，技术负责人具备环保类中级及以上职称（项目负责人与技术负责人可为同一人），投标文件须提供以上证书扫描件。</w:t>
      </w:r>
      <w:r/>
    </w:p>
    <w:p>
      <w:pPr>
        <w:jc w:val="left"/>
        <w:spacing w:after="200" w:line="36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jc w:val="left"/>
        <w:spacing w:after="200" w:line="360" w:lineRule="auto"/>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三、移动紫外线消毒灯</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1、灯管功率：30W*2</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2、灯管可调节角度0-180度</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3、自控消毒时间0-120分钟</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4、万向轮</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5、灯车高度≧100CM</w:t>
      </w:r>
      <w:r>
        <w:rPr>
          <w:rFonts w:hint="eastAsia" w:ascii="宋体" w:hAnsi="宋体" w:eastAsia="宋体" w:cs="宋体"/>
          <w:sz w:val="24"/>
          <w:szCs w:val="24"/>
          <w:lang w:eastAsia="zh-CN"/>
        </w:rPr>
        <w:t xml:space="preserve">。</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四、心电图</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1.心电采集显示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1.1.信号输入：12导联同步采集，同步放大，12通道同步打印输出；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1.2.输入方式：浮地输入，具有除颤保护；</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color w:val="ff0000"/>
          <w:sz w:val="24"/>
          <w:szCs w:val="24"/>
          <w:lang w:eastAsia="zh-CN"/>
        </w:rPr>
        <w:t xml:space="preserve">1.3.耐极化电压：≥±</w:t>
      </w:r>
      <w:r>
        <w:rPr>
          <w:rFonts w:hint="eastAsia" w:ascii="宋体" w:hAnsi="宋体" w:eastAsia="宋体" w:cs="宋体"/>
          <w:color w:val="ff0000"/>
          <w:sz w:val="24"/>
          <w:szCs w:val="24"/>
          <w:lang w:val="en-US" w:eastAsia="zh-CN"/>
        </w:rPr>
        <w:t xml:space="preserve">3</w:t>
      </w:r>
      <w:r>
        <w:rPr>
          <w:rFonts w:hint="eastAsia" w:ascii="宋体" w:hAnsi="宋体" w:eastAsia="宋体" w:cs="宋体"/>
          <w:color w:val="ff0000"/>
          <w:sz w:val="24"/>
          <w:szCs w:val="24"/>
          <w:lang w:eastAsia="zh-CN"/>
        </w:rPr>
        <w:t xml:space="preserve">00mV；</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1.4.时间常数：≥3.2s；</w:t>
      </w:r>
      <w:r/>
    </w:p>
    <w:p>
      <w:pPr>
        <w:jc w:val="left"/>
        <w:spacing w:after="200" w:line="360" w:lineRule="auto"/>
        <w:widowControl/>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1.5.频率响应：0.0</w:t>
      </w:r>
      <w:r>
        <w:rPr>
          <w:rFonts w:hint="eastAsia" w:ascii="宋体" w:hAnsi="宋体" w:eastAsia="宋体" w:cs="宋体"/>
          <w:color w:val="ff0000"/>
          <w:sz w:val="24"/>
          <w:szCs w:val="24"/>
          <w:lang w:val="en-US" w:eastAsia="zh-CN"/>
        </w:rPr>
        <w:t xml:space="preserve">1</w:t>
      </w:r>
      <w:r>
        <w:rPr>
          <w:rFonts w:hint="eastAsia" w:ascii="宋体" w:hAnsi="宋体" w:eastAsia="宋体" w:cs="宋体"/>
          <w:color w:val="ff0000"/>
          <w:sz w:val="24"/>
          <w:szCs w:val="24"/>
          <w:lang w:eastAsia="zh-CN"/>
        </w:rPr>
        <w:t xml:space="preserve">Hz -</w:t>
      </w:r>
      <w:r>
        <w:rPr>
          <w:rFonts w:hint="eastAsia" w:ascii="宋体" w:hAnsi="宋体" w:eastAsia="宋体" w:cs="宋体"/>
          <w:color w:val="ff0000"/>
          <w:sz w:val="24"/>
          <w:szCs w:val="24"/>
          <w:lang w:val="en-US" w:eastAsia="zh-CN"/>
        </w:rPr>
        <w:t xml:space="preserve">320</w:t>
      </w:r>
      <w:r>
        <w:rPr>
          <w:rFonts w:hint="eastAsia" w:ascii="宋体" w:hAnsi="宋体" w:eastAsia="宋体" w:cs="宋体"/>
          <w:color w:val="ff0000"/>
          <w:sz w:val="24"/>
          <w:szCs w:val="24"/>
          <w:lang w:eastAsia="zh-CN"/>
        </w:rPr>
        <w:t xml:space="preserve">Hz；</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1.6.噪声电平：≤15μV；</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1.7.增益类型：2.5、5、10、20、40、10/5、AGC（mm/mV）；</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1.8.输入阻抗：≥50MΩ；</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1.9.共模抑制比：≥110dB（带AC滤波器）；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2.记录仪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2.1.记录方式：热敏点阵式；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2.2.记录速度：5 mm/s、12.5 mm/s、25 mm/s、50 mm/s；</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2.3.可外接打印机直接在A4纸上打印；</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3.输入输出接口</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3.1.网络接口：支持有线、无线联网，预留 USB 接口；</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4.工作模式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 手动模式、自动模式、节律模式；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5.存储规格</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5.1. 内置存储：≥500组ECG记录数据；</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5.2.外置存储：支持U盘存储方式，可实现数据转移和导入、导出；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6.显示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显示器尺寸≥6.0寸液晶显示屏，分辨率≥800×480；</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7.操作</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触摸屏操作；</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8.电池</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 电池类型：内置高聚能锂离子可充电电池；</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8.2 电池容量：能支持打印输出≥300份心电数据；</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五、心电监护仪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▲1.≥10英寸彩色LED背光液晶屏；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2.标配锂电池工作时间≥4小时；</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3.标配心电、血氧、脉博、无创血压、呼吸、体温等参数；</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4.心电：标配3/5导心电；</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5.支持常规、大字体、动态趋势、呼吸氧合等多种界面；</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6.用户可自定义调节界面布局波形和参数功能；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7.具有声光报警，参数报警级别可调。</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六、治疗车</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1.采用304钢材质；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2.尺寸：66cm*44cm*86cm(±4cm）；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3.ABS豪华静音车轮；</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七、抢救车</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1、具备除颤平台；</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2、配置输液架；</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3、采用304不锈钢护栏；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4、采用静音脚轮；</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5、配置利器盒、垃圾桶。</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八、吸引器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电机功率：≥120VA；</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抽气速率≥32L/min；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极限负压值≥0.09Mpa；</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负压调节范围0.02Mpa至极限负压值。</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九、药柜</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1、尺寸：高1800*宽900*深500MM；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2、材质：大于等于201不锈钢；</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3、层数、门数大于等于4层，双门。</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十、血细胞分析仪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▲1.全自动五分类+CRP功能；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2.检测原理：激光流式细胞+细胞化学染色；</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3.检测速度：每小时不少于60个样品；检测速度：五分类+CRP模式≥60个样本/小时；</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4..白细胞五分类检测模式：具有专用的末梢全血模式、普通全血模式和末梢血预稀释模式；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5..测试参数不少于23项参数；</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6.仪器数据存储量≥12000个检测结果；</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7.提供黑白激光打印机一台；</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8.接口免费开放具备联网功能；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9.样本添加：可随时添加样本、急诊样本优先。</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十一、尿分析仪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1.≥1000条数据存储功能，数据可追溯；</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2.每台尿机可处理样本</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440</w:t>
      </w:r>
      <w:r>
        <w:rPr>
          <w:rFonts w:hint="eastAsia" w:ascii="宋体" w:hAnsi="宋体" w:eastAsia="宋体" w:cs="宋体"/>
          <w:color w:val="ff0000"/>
          <w:sz w:val="24"/>
          <w:szCs w:val="24"/>
          <w:lang w:eastAsia="zh-CN"/>
        </w:rPr>
        <w:t xml:space="preserve">T/小时</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3.自动感应样本，自动控制进样，样本异常提醒功能；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4.试纸条满足：11项、14项等测试项目；</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5.测试原理：反射率及色品分析。</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十二、彩超</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A、设备名称：高档全数字化彩色多普勒超声诊断系统(数量：一套)</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设备用途说明：全身应用型彩色多普勒超声诊断仪，用于腹部、泌尿、妇产、成人心脏、胎儿心脏、新生儿及小儿，外周血管，小器官、肌肉骨骼、神经等方面的临床诊断和科研教学工作，具备持续现场和远程更新升级能力，能满足临床开展新技术应用的需求</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C、技术参数及要求：</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1.系统通用功能：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2.监视器：≥20英寸高分辨率医用液晶监视器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3.具备电容触摸屏，并支持触屏任意位置手势滑屏翻页</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4.支持触摸屏参数、功能布局界面专属定制</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5.探头接口：</w:t>
      </w:r>
      <w:r>
        <w:rPr>
          <w:rFonts w:hint="eastAsia" w:ascii="宋体" w:hAnsi="宋体" w:eastAsia="宋体" w:cs="宋体"/>
          <w:color w:val="ff0000"/>
          <w:sz w:val="24"/>
          <w:szCs w:val="24"/>
          <w:lang w:eastAsia="zh-CN"/>
        </w:rPr>
        <w:t xml:space="preserve">≥ 5个无针接口</w:t>
      </w:r>
      <w:r>
        <w:rPr>
          <w:rFonts w:hint="eastAsia" w:ascii="宋体" w:hAnsi="宋体" w:eastAsia="宋体" w:cs="宋体"/>
          <w:sz w:val="24"/>
          <w:szCs w:val="24"/>
          <w:lang w:eastAsia="zh-CN"/>
        </w:rPr>
        <w:t xml:space="preserve">。</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6.频率范围:超宽频带探头技术支持不同探头变频1 MHz 到22MHz之间选择，显示频率最高22MHz，以满足科室未来发展需求</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7.探头配置数量及要求：</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腹部凸阵探头1个：超声频率2-6MHz</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浅表线阵探头1个：超声频率6-16MHz</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腔内探头1个：超声频率4-11MHz</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心脏探头1个：超声频率2-5MHz</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8.二维灰阶显像主要参数：</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9.凸阵探头，全视野，18cm深度时，帧速率≥40帧/秒</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10.接收方式：多倍信号并行处理</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11.预设条件：针对不同的检查脏器，预置最佳化图像的检查条件，减少操作时的调节，并以脏器图形化直观显示并配有部位名称</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12.频谱多普勒：</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12.1方式：脉冲波多普勒：PWD，高脉冲重复频率：HPRF，连续多普勒：CW</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12.2最大测量速度：</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PWD：零角度，血流速度最大9m/s</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CWD：零角度，血流速度最大30m/s</w:t>
      </w:r>
      <w:r/>
    </w:p>
    <w:p>
      <w:pPr>
        <w:jc w:val="left"/>
        <w:spacing w:after="200" w:line="360" w:lineRule="auto"/>
        <w:widowControl/>
        <w:rPr>
          <w:rFonts w:hint="eastAsia" w:ascii="宋体" w:hAnsi="宋体" w:eastAsia="宋体" w:cs="宋体"/>
          <w:color w:val="ff0000"/>
          <w:sz w:val="24"/>
          <w:szCs w:val="24"/>
          <w:lang w:eastAsia="zh-CN"/>
        </w:rPr>
      </w:pPr>
      <w:r>
        <w:rPr>
          <w:rFonts w:hint="eastAsia" w:ascii="宋体" w:hAnsi="宋体" w:eastAsia="宋体" w:cs="宋体"/>
          <w:sz w:val="24"/>
          <w:szCs w:val="24"/>
          <w:lang w:eastAsia="zh-CN"/>
        </w:rPr>
        <w:t xml:space="preserve">12.3 </w:t>
      </w:r>
      <w:r>
        <w:rPr>
          <w:rFonts w:hint="eastAsia" w:ascii="宋体" w:hAnsi="宋体" w:eastAsia="宋体" w:cs="宋体"/>
          <w:color w:val="ff0000"/>
          <w:sz w:val="24"/>
          <w:szCs w:val="24"/>
          <w:lang w:eastAsia="zh-CN"/>
        </w:rPr>
        <w:t xml:space="preserve">取样容积大小范围：宽度</w:t>
      </w:r>
      <w:r>
        <w:rPr>
          <w:rFonts w:hint="eastAsia" w:ascii="宋体" w:hAnsi="宋体" w:eastAsia="宋体" w:cs="宋体"/>
          <w:color w:val="ff0000"/>
          <w:sz w:val="24"/>
          <w:szCs w:val="24"/>
          <w:lang w:val="en-US" w:eastAsia="zh-CN"/>
        </w:rPr>
        <w:t xml:space="preserve">1</w:t>
      </w:r>
      <w:r>
        <w:rPr>
          <w:rFonts w:hint="eastAsia" w:ascii="宋体" w:hAnsi="宋体" w:eastAsia="宋体" w:cs="宋体"/>
          <w:color w:val="ff0000"/>
          <w:sz w:val="24"/>
          <w:szCs w:val="24"/>
          <w:lang w:eastAsia="zh-CN"/>
        </w:rPr>
        <w:t xml:space="preserve">mm至</w:t>
      </w:r>
      <w:r>
        <w:rPr>
          <w:rFonts w:hint="eastAsia" w:ascii="宋体" w:hAnsi="宋体" w:eastAsia="宋体" w:cs="宋体"/>
          <w:color w:val="ff0000"/>
          <w:sz w:val="24"/>
          <w:szCs w:val="24"/>
          <w:lang w:val="en-US" w:eastAsia="zh-CN"/>
        </w:rPr>
        <w:t xml:space="preserve">20</w:t>
      </w:r>
      <w:r>
        <w:rPr>
          <w:rFonts w:hint="eastAsia" w:ascii="宋体" w:hAnsi="宋体" w:eastAsia="宋体" w:cs="宋体"/>
          <w:color w:val="ff0000"/>
          <w:sz w:val="24"/>
          <w:szCs w:val="24"/>
          <w:lang w:eastAsia="zh-CN"/>
        </w:rPr>
        <w:t xml:space="preserve">mm；</w:t>
      </w:r>
      <w:r>
        <w:rPr>
          <w:rFonts w:hint="eastAsia" w:ascii="宋体" w:hAnsi="宋体" w:eastAsia="宋体" w:cs="宋体"/>
          <w:color w:val="ff0000"/>
          <w:sz w:val="24"/>
          <w:szCs w:val="24"/>
          <w:lang w:val="en-US" w:eastAsia="zh-CN"/>
        </w:rPr>
        <w:t xml:space="preserve">连续</w:t>
      </w:r>
      <w:r>
        <w:rPr>
          <w:rFonts w:hint="eastAsia" w:ascii="宋体" w:hAnsi="宋体" w:eastAsia="宋体" w:cs="宋体"/>
          <w:color w:val="ff0000"/>
          <w:sz w:val="24"/>
          <w:szCs w:val="24"/>
          <w:lang w:eastAsia="zh-CN"/>
        </w:rPr>
        <w:t xml:space="preserve">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13.彩色多普勒</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13.1 显示方式：速度方差显示、能量显示，速度显示、方差显示、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13.2 凸阵探头、最大角度，18cm深时，彩色显示帧频≥10帧/秒</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13.3 彩色显示速度：最低平均血流显示速度≤1cm/s（非噪声信号）</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14.梯形扩展成像技术，增大扫查视野</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14.1宽景成像技术，包含灰阶、彩色及能量图，配备缩放和测量功能。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14.2组织多普勒成像技术，具有多种应用模式，并可对室壁进行速度、加速度的测量和分析。</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15.一般测量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15.1妇、产科测量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15.2心脏功能测量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15.3多普勒血流测量与分析</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15.4外周血管测量与分析</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15.5泌尿科测量与分析</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15.6自动多普勒血流测量与分析</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16.数据连通性：医学数字图像和DICOM3.0接口部件，无线数据传输系统</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D、图像存档与病案管理系统：主机硬盘≥500GB，多个USB接口，可将图像储存U盘、移动硬盘等。</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十三、担架车</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1、采用加厚不锈钢管焊接，承重强；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2、采用舒适架面；</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3、可调节升降输液杆；</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4、可充气后置轮胎，加大承重随时充气。</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十四、床边可移动升降餐桌</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1、可翻折、可移动、可升降；</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2、总高度：75-105cm；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3、环保材质，万向静音轮，可刹车。</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十五、助浴椅</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1、材质：椅架采用高强度铝合金；</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2、座板和靠背材质采用高密度PE材质，扶手材质采用加强尼龙；</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3、脚垫采用防霉防滑TPE材质；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4、座板高度不低于五档调节；</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5、产品承重100kg以上。</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十六、助浴床</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1、尺寸（参考）：长150cm，宽60cm，高64cm（±15cm）；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2、带轮子可移动，带刹车；</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3、环保材质，防滑。</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十七、轮椅</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1、可承重≥100KG；</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2、可一键折叠，节省空间；</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3、采用护理手刹和肘节式两种刹车；</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4、材质采用高品质金属合金，耐腐蚀。</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十八、医用制氧机10升</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1、流量（L/min）:0-10(可调)；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2、浓度（V/V）：93%±3%；</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3、出口压力（Mpa）：0.04-0.07；</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4、噪音（dB）:≤55；</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5、功率（W）：550。</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十九、烘干机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1、采用优质散热器，优质不锈钢内胆；</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2、具备烘干功能，采用自动控制装置，只需通过控制面板调节好时间，即可自动完成整个烘干过程；</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3、内胆采用304不锈钢材质；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4、最大容量≥50Kg。</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二十、半导体治疗仪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1、激光媒介：半导体激光；         </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2、输出模式：连续 或 间歇；</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3、定时功能：1-90分钟； </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4、设备类型：可移动式；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5、激光输出方式：多激光器阵列；</w:t>
      </w:r>
      <w:r/>
    </w:p>
    <w:p>
      <w:pPr>
        <w:jc w:val="left"/>
        <w:spacing w:after="200" w:line="360" w:lineRule="auto"/>
        <w:widowControl/>
        <w:rPr>
          <w:rFonts w:hint="eastAsia" w:ascii="宋体" w:hAnsi="宋体" w:eastAsia="宋体" w:cs="宋体"/>
          <w:color w:val="auto"/>
          <w:sz w:val="24"/>
          <w:szCs w:val="24"/>
          <w:lang w:eastAsia="zh-CN"/>
        </w:rPr>
      </w:pPr>
      <w:r>
        <w:rPr>
          <w:rFonts w:hint="eastAsia" w:ascii="宋体" w:hAnsi="宋体" w:eastAsia="宋体" w:cs="宋体"/>
          <w:sz w:val="24"/>
          <w:szCs w:val="24"/>
          <w:lang w:eastAsia="zh-CN"/>
        </w:rPr>
        <w:t xml:space="preserve">6、操    作</w:t>
      </w:r>
      <w:r>
        <w:rPr>
          <w:rFonts w:hint="eastAsia" w:ascii="宋体" w:hAnsi="宋体" w:eastAsia="宋体" w:cs="宋体"/>
          <w:color w:val="auto"/>
          <w:sz w:val="24"/>
          <w:szCs w:val="24"/>
          <w:lang w:eastAsia="zh-CN"/>
        </w:rPr>
        <w:t xml:space="preserve">：不低于6.</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lang w:eastAsia="zh-CN"/>
        </w:rPr>
        <w:t xml:space="preserve"> 英寸触摸屏可随意触摸操作；</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7、激光器数量：面照治疗头激光管不少于36个，点照射治疗头激光管不少于6个；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8、工作方式：不少于双路输出、独立控制、非接触式、体表垂直照射等4种工作方式。</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二十一、电脑中频治疗仪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1.产品结构形式：台面款式，轻巧便捷；</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2.输出通道：四通道配置；四路可独立控制；</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3.输出电流强度：50mA可调；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4.不少于99种治疗处方，不少于5种治疗模式（低频调制中频、音频模式、正弦调制、脉冲调制、干扰模式）可选；</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5.具有电极加热功能。</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二十二、经皮神经电刺激仪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1.≥双通道，各个通道的参数能单独调节；</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2.输出波形：双向不对称方波；</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3.≥三种输出模式：各个模式输出波形可实时显示；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4.治疗时间：5min～30min分档可调，允差±5%。</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二十三、超声波治疗仪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1.便携式机型，配置≥3.5寸彩色液晶显示屏；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2.仪器配有一个手持移动式1MHz探头；</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.额定输出有效声强：≤3.0W/cm²；</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.治疗时间：0分钟～30分钟；</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.输出模式：不少于8档脉冲模式和1档连续模式。</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二十四、磁振热治疗仪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1.≥双通道输出，交变磁场、生物磁振、温热疗法三功合一；</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2.≥4种不同类型治疗导子可供选配；</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3.振动频率：50Hz±1Hz；</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4.加热模式：≥四档可调；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5.具有超温保护装置；</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6.治疗时间：1～60min；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7.不低于6寸彩色液晶显示屏；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8.不少于六种工作模式；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9.四通道柜式机型，配不低于四种适用不同部位的治疗导子；</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10.具有超温保护装置。</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二十五、立体动态干扰电治疗仪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1.具有双路（两维）干扰输出、立体（三维）干扰输出两种输出模式；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2.≥6路电极；</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3.过流、开路、短路时提示警报，保证患者使用安全；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4.调制方式：间歇调制、连续调制；</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5.具有可自定义参数的程序模式；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6.治疗时间：1～99分钟连续可调；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8.具有不低于三组负压电极输出；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9.工作频率：2000Hz-6000Hz；</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10.不少于9种干扰输出模式；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11.顶盘加热功能：可单独开启及关闭，最高温度为40℃，±3℃；</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12.负压吸引功能：输出负压0kPa～25kPa连续可调。</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二十六、微波治疗仪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1.微波频率：2450±30MHz；</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2.输出功率：0～80W连续可调，步长可调；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3.辐射器电压驻波比：≤2.5；</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4.治疗时间： 1-30分钟；</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5.专用磁控管，输出更稳定，使用寿命更长；</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6.不少于2种输出方式：连续式、间歇脉冲式。</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二十七、红外光灸疗机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1.柜式一体机型；</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2.输出通道：≥单治疗头输出；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3.时间设定:1~60min；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4.红外光波长范围 760nm~1000nm; </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5.双通道：具有双头双通道，可同时输出治疗两人或两个部位; </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6.具有红外光与艾灸治疗可单独或同时输出；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8.具备防倾倒保护功能，自动断电功能。</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二十八、颈腰椎多功能牵引床</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1.内置不少于8种牵引模式；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2.颈椎牵引力可调范围：0～300N；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3.腰椎牵引力可调范围：0～980N；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4.治疗时间可调范围：0～99min，步长为1min；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5.设备具有紧急保护措施；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6.具备四维牵引功能；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7.设备具有紧急保护措施。在牵引治疗过程中，按下急退按键，可使牵引力松弛至初始状态；</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8.设备具有加热功能，加热功能可单独开启或关闭。</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二十九、多关节主被动训练仪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1.适用于对患者肢体或关节进行主/被动康复训练；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2.设备应具有主动训练，被动训练，主被动训练，助力训练；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3.能够智能探测痉挛并自动缓解痉挛；</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4.痉挛灵敏度分别可调；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5.具有训练方向改变功能；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6.具有训练定时设置功能；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7.康复器的阻力扭矩可调节范围：0～18档，分别对应相应的阻力扭矩值；</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8.康复器训练时间可调节范围1～99min；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.监测到痉挛发生时，康复器作出保护动作，在6s之内停止运转，并自动转入反向低速运转。该功能默认为开启状态，可在参数设置时关闭功能；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CN"/>
        </w:rPr>
        <w:t xml:space="preserve">.采用不小于7英寸的彩色触摸屏操作显示；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.训练结束会显示主动训练时间和被动训练时间。</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三十、OT综合治疗桌</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1.左右操作面板：（参考）44.5×36（长×宽）正负2cm；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2.后操作面板：（参考）94.5×36（长×宽）cm正负2cm；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3.材质：多层板、橡胶脚轮；</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4.训练组件：立式套圈、木棍插板、几何图形插板、弧形分指板、上肢协调功能器（手指）、上螺丝、上螺母、动物图形插板、模拟工具、卧式套圈共十件组成。</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三十一、PT训练床</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1、外形尺寸（长×宽×高）：195cm×122cm×50cm,正负5cm；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2、床面高度：48㎝正负2cm；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3、床面额定承载: 不低于2000N；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4、产品用途：用作PT受训者在床上进行各类康复训练活动。</w:t>
      </w:r>
      <w:r/>
    </w:p>
    <w:p>
      <w:pPr>
        <w:jc w:val="left"/>
        <w:spacing w:after="100" w:line="259"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三十二、多体位医用诊疗床</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1、用途：按摩师对患者按摩时用床；</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2、床面尺寸(长×宽)cm：（参考）190×60正负5cm；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3、床面高度cm：（参考）65正负2cm；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4、额定载荷：≥1700N。</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三十三、电针治疗仪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1.输出波型：多种波形；</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2.输出通道：≥4路通道输出；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3.工作频率：2Hz、10Hz等多种频率；</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4.治疗时间：定时功能。</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三十四、电动多体位医用诊疗床</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1、产品结构：3折3段；（3折：头板、背板、臀腿板；3段：头板分段、背板分段、臀腿板分段）；</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2、治疗床最大升降行程不小于300mm；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3、床板水平上升速度不高于15mm/s,水平下降速度不高于17.5mm/s，允差±2mm/s；</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4、各段位具备角度调节功能。</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三十五、深层肌肉刺激仪</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1、手持式全金属材质治疗器，原装进口电机，进口传动结构件；</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2、不少于三种规格钛合金治疗头：满足人体大小肌肉、筋膜链的治疗需求；</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、治疗时间可调；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、治疗头振动频率可调为≤60Hz，即最高可达3600次/分钟；</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治疗头振幅不低于6mm，误差≤±1mm；</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三十六、磁疗康复仪（带激光）</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1.柜式一体机，具有磁疗和激光两种功能，配有一个激光磁治疗头；</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2.最大磁感应强度：≥4000mT±20%，强度设置≥0%-100%可调，步长为1%；</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3.输出波形： </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3.1工作频率：≥90Hz，步长为1Hz；</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4.激光波长：≥600nm，误差为±20%；</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5.单个激光输出强度：≥3.5mW；</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6.治疗头具有≥3个激光输出头；</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7.定时：≥60min可调，步长为1min；</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8.≥3种输出模式：可灵活切换；</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9、治疗模式：自动模式、手动模式；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10.冷却系统：具有专业的液态循环冷却系统，保障设备使用寿命；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11.发生故障时，有声音提示并停止磁场输出；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12.显示方式：≥7英寸彩色触摸显示屏显示；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13.操作方式：触摸点控及一键飞梭操作；</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14.治疗头移动方式：可手持，可机械臂固定，机械臂可多段多角度调节；</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15.仪器具有治疗头温度显示功能，超温报警；</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16.磁疗头具有冷却装置。</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三十七、饮用水设备</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1、热水胆容量：大于等于18L；</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2、功率：220V/2KW；</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3、过滤系统：具备反渗透过滤模式；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4、出水口：1开1常温；</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5、控制方式：触屏控制；</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6、使用人数：大于等于50人。</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三十八、床单元（床上用品）</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1、床单尺寸：155*230公分，采用涤棉材质；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2、床褥尺寸：90*200公分，可水洗丝绵；</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3、被芯尺寸：150*200公分，可水洗丝绵；</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4、被罩尺寸：155*210公分，采用涤棉材质；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5、枕芯尺寸：40*60公分，可水洗丝绵；</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6、枕套尺寸：45*65公分，采用涤棉材质。</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三十九、护理床</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双摇床参数：</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1、外径尺寸：2000*1000*450mm（±30mm）；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2、床架：采用优质型40*80矩铁管焊接成型，厚度≥1.0mm，表面静电喷塑，牢固耐用，美观大方，床体整体承重240KG以上；</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3、床板：采用宽条式优质带钢冲压、折边成型，材料厚度≥0.7mm，表面静电喷塑，防腐蚀、易清洁；</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4、床面连接全部使用钢件，受压力强，转动无噪音，且外形美观；连接件厚度达3mm；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木质床头护板：颗粒板（免喷漆板）床头带软包 ；</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6、床脚立柱采用40*40方管，厚度≥1.0mm；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7、配置 4 公分棕+2 公分海绵棉布床垫（透气性好），外套可拆洗；</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8、背段升降采用独立支架支撑，结构简易牢固，材料厚度达3mm；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9、升降丝杆采用45#钢挤压成型，丝杆外表光滑耐用，摇杆采用万向联轴节结构，并有防护装置不积尘，钢制摇柄隐形于床体，可折叠，使用方便且结构牢固；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10、铝合金防夹手护栏，专用铝型材料；护栏自锁机构隐藏式压铸枪把，五个不锈钢立柱，可收缩平放，坚固耐用，装饰自如；</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11、床体背部升降角度0～70° ，承载力≥50kg，腿部升降角度0～ 30°，承载力≥50kg。</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12、脚轮：静音万向脚轮，有刹车功能，静音耐磨，防水、防尘、防异物卷入；</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w:t>
      </w:r>
      <w:r>
        <w:rPr>
          <w:rFonts w:hint="eastAsia" w:ascii="宋体" w:hAnsi="宋体" w:eastAsia="宋体" w:cs="宋体"/>
          <w:sz w:val="24"/>
          <w:szCs w:val="24"/>
          <w:lang w:val="en-US" w:eastAsia="zh-CN"/>
        </w:rPr>
        <w:t xml:space="preserve">配</w:t>
      </w:r>
      <w:r>
        <w:rPr>
          <w:rFonts w:hint="eastAsia" w:ascii="宋体" w:hAnsi="宋体" w:eastAsia="宋体" w:cs="宋体"/>
          <w:sz w:val="24"/>
          <w:szCs w:val="24"/>
          <w:lang w:eastAsia="zh-CN"/>
        </w:rPr>
        <w:t xml:space="preserve">可移动餐桌板：                                                                                                                                                                               14、</w:t>
      </w:r>
      <w:r>
        <w:rPr>
          <w:rFonts w:hint="eastAsia" w:ascii="宋体" w:hAnsi="宋体" w:eastAsia="宋体" w:cs="宋体"/>
          <w:sz w:val="24"/>
          <w:szCs w:val="24"/>
          <w:lang w:val="en-US" w:eastAsia="zh-CN"/>
        </w:rPr>
        <w:t xml:space="preserve">可移动伸缩</w:t>
      </w:r>
      <w:r>
        <w:rPr>
          <w:rFonts w:hint="eastAsia" w:ascii="宋体" w:hAnsi="宋体" w:eastAsia="宋体" w:cs="宋体"/>
          <w:sz w:val="24"/>
          <w:szCs w:val="24"/>
          <w:lang w:eastAsia="zh-CN"/>
        </w:rPr>
        <w:t xml:space="preserve">输液架。</w:t>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 床头柜参数：</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基材：面板厚度18mm。采用国家E0级环保免漆板，边角处采用倒圆工艺，板材的封边，优质工艺的封边细腻、光滑、手感好，封线平直光滑，接头精细。专业厂用直线激光封边机器一次完成工序，涂胶均匀，压力稳定；</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2、封边条：全部采用2厘</w:t>
      </w:r>
      <w:r>
        <w:rPr>
          <w:rFonts w:hint="eastAsia" w:ascii="宋体" w:hAnsi="宋体" w:eastAsia="宋体" w:cs="宋体"/>
          <w:sz w:val="24"/>
          <w:szCs w:val="24"/>
          <w:lang w:val="en-US" w:eastAsia="zh-CN"/>
        </w:rPr>
        <w:t xml:space="preserve">米</w:t>
      </w:r>
      <w:r>
        <w:rPr>
          <w:rFonts w:hint="eastAsia" w:ascii="宋体" w:hAnsi="宋体" w:eastAsia="宋体" w:cs="宋体"/>
          <w:sz w:val="24"/>
          <w:szCs w:val="24"/>
          <w:lang w:eastAsia="zh-CN"/>
        </w:rPr>
        <w:t xml:space="preserve">近色PVC封边条； </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3、拉手：实木材质，表面细腻、圆润；</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4、五金：优质五金配件。</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四十、无创呼吸机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1、工作模式：CPAP，S，T，ST；</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2、通气参数：</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2.1初始压力：4-25 cmH2O（间隔0.5 cmH2O）；</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 吸气压力：4-30 cmH2O（间隔0.5 cmH2O）；</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 治疗压力：4-20 cmH2O（CPAP模式下，间隔0.5 cmH2O）；</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 延时升压：0-45分钟（间隔5分钟）；</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2.5 呼吸频率：3-40次/分；</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2.6潮气量：50-1500ml；</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3、监测设定参数的可显示： 呼吸波形可显示；使用模式，吸气压力，呼气压力，呼吸频率，吸呼比，潮气量。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四十一、关节康复器</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1、可以实现多个关节康复康复训练；</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2、伸展角度和屈角角度可调，角速度多档且连续可调；</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3、微电脑控制程序；</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4、可定时；</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5、仪器组成：主机（含控制部分）、关节固定机构、支撑机构、调节杆、手持操作器组成；</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6、输入功率：≤80VA；</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7、角度范围及误差：≥120°，膝关节屈曲动作角度≥120°；髋关节屈曲动作角度≥80°；踝关节屈曲动作角度≥60°；</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8、痉挛保护：≥3个等级；</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9、调节杆长度可调；</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10、不少于3种工作模式。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四十二、适老无障碍化餐桌椅（可供 10 人就餐）</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1、适老化桌应稳固，桌边角处采用倒圆工艺，无锐角，底部应方便轮椅进入；</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2、方便老年人坐下起身就餐；</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3、配置适老化椅；</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4、采用木质材质。</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四十三、洗衣机</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1、滚筒式，额定洗涤容量：10Kg，脱水容量10Kg；</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2、洗涤噪音：小于等于60dB，脱水噪音：小于等于75dB；</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3、能效等级：1级。</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四十四、静脉穿刺定位仪</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1、机身尺寸：190*24*35mm±5mm;</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2、内置锂电：650MA；</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3、采用红外线精准定位；</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4、便携式设计，方便医护在各种环境下使用；</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5、实时血管显影，清晰显示血管位置，提高穿刺成功率。</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四十五、全自动护理床</w:t>
      </w:r>
      <w:r/>
    </w:p>
    <w:p>
      <w:pPr>
        <w:jc w:val="left"/>
        <w:spacing w:after="10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1、床体尺寸：长210cm*宽96cm*高50cm（⼟5cm)；</w:t>
      </w:r>
      <w:r/>
    </w:p>
    <w:p>
      <w:pPr>
        <w:jc w:val="left"/>
        <w:spacing w:after="10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2、床体承重不小于140KG；</w:t>
      </w:r>
      <w:r/>
    </w:p>
    <w:p>
      <w:pPr>
        <w:jc w:val="left"/>
        <w:spacing w:after="10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3、具备洗浴功能； </w:t>
      </w:r>
      <w:r/>
    </w:p>
    <w:p>
      <w:pPr>
        <w:jc w:val="left"/>
        <w:spacing w:after="10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4、具备透气转身功能；</w:t>
      </w:r>
      <w:r/>
    </w:p>
    <w:p>
      <w:pPr>
        <w:jc w:val="left"/>
        <w:spacing w:after="10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5、具备护理功能；</w:t>
      </w:r>
      <w:r/>
    </w:p>
    <w:p>
      <w:pPr>
        <w:jc w:val="left"/>
        <w:spacing w:after="10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6、具备背部运动功能； </w:t>
      </w:r>
      <w:r/>
    </w:p>
    <w:p>
      <w:pPr>
        <w:jc w:val="left"/>
        <w:spacing w:after="10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7、具备腿部运动功能； </w:t>
      </w:r>
      <w:r/>
    </w:p>
    <w:p>
      <w:pPr>
        <w:jc w:val="left"/>
        <w:spacing w:after="10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8、具备起背抬腿功能。</w:t>
      </w:r>
      <w:r/>
    </w:p>
    <w:p>
      <w:pPr>
        <w:jc w:val="left"/>
        <w:spacing w:after="200" w:line="360" w:lineRule="auto"/>
        <w:widowControl/>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四十六、心电图工作站</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1、病人管理功能：包括新建、删除、修改和搜索病人；</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2、报告管理功能：包括导入、导出、删除、浏览、修改、打印病人报告；</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3、数据管理功能：包括数据的存储管理、备份、还原、统计；</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4、系统设置功能：包括基础设置、打印设置、导出设置、数据维护；      </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5、软件支持Windows/Android系统；       </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6、支持PDF、JPG等文件输出格式，多种心电图报告打印格式，可彩色打印；    </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7、自动识别各种异常心搏和异常心律；</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8、支持多导同步心电采集，适用于多种心脏疾病的诊断，帮助医生进行更准确的分析；</w:t>
      </w:r>
      <w:r/>
    </w:p>
    <w:p>
      <w:pPr>
        <w:jc w:val="left"/>
        <w:spacing w:after="200" w:line="276" w:lineRule="auto"/>
        <w:widowControl/>
        <w:rPr>
          <w:rFonts w:hint="default" w:ascii="Calibri" w:hAnsi="Calibri" w:eastAsia="宋体" w:cs="Times New Roman"/>
          <w:sz w:val="22"/>
          <w:szCs w:val="22"/>
          <w:lang w:val="en-US" w:eastAsia="zh-CN"/>
        </w:rPr>
      </w:pPr>
      <w:r>
        <w:rPr>
          <w:rFonts w:hint="eastAsia" w:ascii="宋体" w:hAnsi="宋体" w:eastAsia="宋体" w:cs="宋体"/>
          <w:sz w:val="24"/>
          <w:szCs w:val="24"/>
          <w:lang w:val="en-US" w:eastAsia="zh-CN"/>
        </w:rPr>
        <w:t xml:space="preserve">9、配备适应打印机；</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10、产品使用寿命≥5年。</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四十七、电子血压计</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1、显示方式：LCD液晶数字显示；</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2、测量范围：0mmHg--280mmHg（0KPa--37.5KPa）；</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3、测量精度：压力±3mmHg(±0.4KPa)。</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四十八、医疗废弃物推车</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1、产品尺寸：长1350mm*宽780mm*高1220mm正负50mm；</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2、材质：ABS。</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四十九、电视机</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1.屏幕尺寸：55寸；</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2.屏幕分辨率：超高清4K；</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3.亮度：200-300尼特；</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4.存储内存：大于等于32GB；</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5.USB2.0接口数：2个，HDMI2.0接口数：2个；</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6.待机功率：小于等于0.5W，工作电压220V；</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7.连接方式：无线/有线。</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五十、洗澡间适老扶手</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1、采用尼龙＋不锈钢管；</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2、尺寸：600*130mm正负10mm。</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五十一、热水器</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1、加热功率：大于等于8500W；</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2、类型：即热式电热水器；</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3、外观设计：超薄型；</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4、操控方式：触控式。</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五十二、超声脉冲电导治疗仪</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1.≥6.5寸彩色触摸屏，中文操作界面微电脑控制；</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2.≥2道输出，每通道独立控制；</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3.电致孔输出、超声波输出、中频输出三种功能融为一体定向定量定速精准快速直达组织；</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4.定时功能≥30分钟任意选择，治疗结束有声音提示并关闭输出；</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5.超声输出声工作频率≥1MHz,允差±10%；超声输出有效声强：额定输出功率标称值下最大有效声强≥0.1W/cm², 允差±30%；超声输出有效辐射面积≥3.8cm²，允差±20%；</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6.中频输出；</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方波脉冲频率：≥2kHz±10%；</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低频调制中频的调幅度：≥100%，允差±5%。</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after="10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五十三、中医定向透药治疗仪</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1、输出通道：≥2通道（同时治疗2名患者）；</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2、治疗处方：≥15个治疗处方；</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3、治疗电流：非对称低中频电流；</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4、液晶显示，便于快速操作；</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5、≥4种治疗模式；</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6、中频载波频率：2000 Hz -4000 Hz；</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7、低频调制频率：≥150 Hz；</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8、低频调制波形：不少于5种；</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9、电极保温档位：≥6级调节；</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10、输出强度控制：≥90级步进可调；</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11、定时时间控制：≥60分钟；</w:t>
      </w:r>
      <w:r/>
    </w:p>
    <w:p>
      <w:pPr>
        <w:jc w:val="left"/>
        <w:spacing w:after="10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12、主机使用期限：≥5年。</w:t>
      </w:r>
      <w:r>
        <w:rPr>
          <w:rFonts w:hint="eastAsia" w:ascii="宋体" w:hAnsi="宋体" w:eastAsia="宋体" w:cs="宋体"/>
          <w:sz w:val="24"/>
          <w:szCs w:val="24"/>
          <w:lang w:val="en-US" w:eastAsia="zh-CN" w:bidi="ar-SA"/>
        </w:rPr>
        <w:br/>
      </w:r>
      <w:r/>
    </w:p>
    <w:p>
      <w:pPr>
        <w:jc w:val="left"/>
        <w:spacing w:after="200"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五十四、熏蒸治疗机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1、通道数：≥2通道（二个喷头），微电脑独立控制；</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2、预热及治疗功率≥4档可调；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3、具有预热温度设置功能，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4、药液从常温加热到95℃时间≤15分钟；</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5、治疗时间≥30分钟可调；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6、具有低液位报警及温度保护开关功能；</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7、设备具有保温功能，保温温度70-90℃可调；</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8、按键操作、治疗结束、预热达到设定温度及缺液时具有声音提示；</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9、当熏蒸机加热容器中气压≥0.08MPa时，减压阀排气减压；</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10、喷杆关节四轴旋转可调，喷头动作角度万向，确保临床患者坐姿卧姿不同体位的熏蒸需求；</w:t>
      </w:r>
      <w:r/>
    </w:p>
    <w:p>
      <w:pPr>
        <w:jc w:val="left"/>
        <w:spacing w:after="20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11、额定装药最大容量：≥3.5L。</w:t>
      </w:r>
      <w:r/>
    </w:p>
    <w:p>
      <w:pPr>
        <w:jc w:val="left"/>
        <w:keepLines w:val="0"/>
        <w:keepNext w:val="0"/>
        <w:pageBreakBefore w:val="0"/>
        <w:spacing w:after="0" w:line="360" w:lineRule="auto"/>
        <w:widowControl/>
        <w:tabs>
          <w:tab w:val="left" w:pos="396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p>
      <w:pPr>
        <w:ind w:firstLine="482"/>
        <w:jc w:val="left"/>
        <w:keepLines w:val="0"/>
        <w:keepNext w:val="0"/>
        <w:pageBreakBefore w:val="0"/>
        <w:spacing w:after="0" w:line="360" w:lineRule="auto"/>
        <w:widowControl/>
        <w:tabs>
          <w:tab w:val="left" w:pos="3960" w:leader="none"/>
        </w:tabs>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w:t>
      </w:r>
      <w:r>
        <w:rPr>
          <w:rFonts w:hint="default" w:ascii="宋体" w:hAnsi="宋体" w:eastAsia="宋体" w:cs="宋体"/>
          <w:b/>
          <w:bCs/>
          <w:color w:val="auto"/>
          <w:sz w:val="24"/>
          <w:szCs w:val="24"/>
          <w:lang w:val="en-US" w:eastAsia="zh-CN"/>
        </w:rPr>
        <w:t xml:space="preserve">、项目实施要求</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（一）安装调试要求</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中标人应委派具有相应资质且经验丰富的技术人员，在了解采购人关于安装进度要求的前提下，负责完成以下工作：</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1、中标人负责设备的安装和调试，并保证安装稳固，如因仪器倾倒掉落导致安全事故，中标人负责处理，并由中标人承担相应的赔偿责任。</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2、调试过程中需使用的工具、设备、耗材、运输和劳务等所有费用均由中标人承担。</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3、所有设备安装完成后，应按国家有关规范标准（国家无验收规范标准的按双方合同规定的要求）进行调试、验收。</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4、所有设备拆箱、通电、调试等各项工作由中标人负责完成。具体实施前，应先经采购人同意且在其指定人员的参与下方可进行。调试的原始记录须经各方签字后留作验收文件。     </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（二）设备材料要求</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中标人提供的设备必须是制造厂商原装的、全新的产品，生产（出厂）日期为本项目开标时间前6个月内，否则招标人有权拒绝签收，并有权取消其中标资格；给招标人造成的损失的，中标人还应当予以赔偿。该损失包括但不限于重新招标费用、成交价格高于本次招标价格部分、实现赔偿的诉讼费、律师费等费用。其性能及指标参数应符合国家及招标文件提出的有关技术、质量、安全标准。</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2、中标人应确保提供的设备在开箱检验时完好，无破损，箱内配置与装箱清单相符。数量、质量及性能不得低于招标文件中的相关要求。</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3、中标人提供的设备应外观整洁，设备型号、规格、制造厂商、生产（出厂）日期须准确清晰。铭牌、使用指示和警告指示均应以中、英文和通俗易懂的符号表示。</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4、对于影响设备正常工作的重要零配件，无论在技术规范中指出与否，中标人都应及时提供并在投标文件中明确列出。</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5、供货时所有设备应具有出厂合格证等相关证明文件。</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6、所有设备配件和耗材在现场安装使用前，采购人将进行随机抽验。</w:t>
      </w:r>
      <w:r/>
    </w:p>
    <w:p>
      <w:pPr>
        <w:ind w:firstLine="480"/>
        <w:jc w:val="both"/>
        <w:keepLines w:val="0"/>
        <w:keepNext w:val="0"/>
        <w:pageBreakBefore w:val="0"/>
        <w:spacing w:before="20" w:after="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（三）交货时间、地点</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lang w:val="en-US" w:eastAsia="zh-CN" w:bidi="ar-SA"/>
        </w:rPr>
        <w:t xml:space="preserve">采购合同签订后按采购人要求开始供货安装，20日内完成全部设备的安装调试并通过验收。</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bidi="ar-SA"/>
        </w:rPr>
        <w:t xml:space="preserve">2、由中标人免费将全套设备运送至各指定地点并安装调试到位，</w:t>
      </w:r>
      <w:r>
        <w:rPr>
          <w:rFonts w:hint="eastAsia" w:ascii="宋体" w:hAnsi="宋体" w:eastAsia="宋体" w:cs="Times New Roman"/>
          <w:color w:val="auto"/>
          <w:sz w:val="24"/>
          <w:szCs w:val="24"/>
          <w:highlight w:val="none"/>
          <w:lang w:val="en-US" w:eastAsia="zh-CN"/>
        </w:rPr>
        <w:t xml:space="preserve">设备需要的电源插座及网络设施由中标人负责安装到位。</w:t>
      </w:r>
      <w:r>
        <w:rPr>
          <w:rFonts w:hint="eastAsia" w:ascii="宋体" w:hAnsi="宋体" w:eastAsia="宋体" w:cs="宋体"/>
          <w:color w:val="auto"/>
          <w:sz w:val="24"/>
          <w:szCs w:val="24"/>
          <w:highlight w:val="none"/>
          <w:lang w:val="en-US" w:eastAsia="zh-CN" w:bidi="ar-SA"/>
        </w:rPr>
        <w:t xml:space="preserve">安装人员应具备相应资质，安装标准须符合国家有关安全技术规范和技术标准。</w:t>
      </w:r>
      <w:r/>
    </w:p>
    <w:p>
      <w:pPr>
        <w:contextualSpacing/>
        <w:ind w:right="220" w:firstLine="482"/>
        <w:jc w:val="left"/>
        <w:keepLines w:val="0"/>
        <w:keepNext w:val="0"/>
        <w:pageBreakBefore w:val="0"/>
        <w:spacing w:before="100" w:after="100" w:line="360" w:lineRule="auto"/>
        <w:widowControl/>
        <w:tabs>
          <w:tab w:val="left" w:pos="94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五、质保期及售后服务要求</w:t>
      </w:r>
      <w:r/>
    </w:p>
    <w:p>
      <w:pPr>
        <w:ind w:firstLine="480"/>
        <w:jc w:val="left"/>
        <w:keepLines w:val="0"/>
        <w:keepNext w:val="0"/>
        <w:pageBreakBefore w:val="0"/>
        <w:spacing w:after="200" w:line="360" w:lineRule="auto"/>
        <w:widowControl/>
        <w:rPr>
          <w:rFonts w:hint="default" w:ascii="宋体" w:hAnsi="宋体" w:eastAsia="宋体" w:cs="宋体"/>
          <w:bCs/>
          <w:color w:val="auto"/>
          <w:sz w:val="21"/>
          <w:szCs w:val="21"/>
          <w:lang w:val="en-US" w:eastAsia="en-US"/>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lang w:eastAsia="zh-CN"/>
        </w:rPr>
        <w:t xml:space="preserve">）质保期：</w:t>
      </w:r>
      <w:r>
        <w:rPr>
          <w:rFonts w:hint="eastAsia" w:ascii="宋体" w:hAnsi="宋体" w:eastAsia="宋体" w:cs="Times New Roman"/>
          <w:color w:val="auto"/>
          <w:sz w:val="24"/>
          <w:szCs w:val="24"/>
          <w:highlight w:val="none"/>
          <w:lang w:val="en-US" w:eastAsia="zh-CN"/>
        </w:rPr>
        <w:t xml:space="preserve">质量保证期至少3年。（需供应商根据招标文件要求出具质保及售后服务承诺书）。</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（二）售后服务</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1、中标人必须有严格的售后服务保障体系，能提供正常的技术支持和备件供应服务。设备发生故障或异常时2小时内做出响应，</w:t>
      </w:r>
      <w:r>
        <w:rPr>
          <w:rFonts w:hint="eastAsia" w:ascii="宋体" w:hAnsi="宋体" w:eastAsia="宋体" w:cs="Times New Roman"/>
          <w:color w:val="auto"/>
          <w:sz w:val="24"/>
          <w:szCs w:val="24"/>
          <w:highlight w:val="none"/>
          <w:lang w:val="en-US" w:eastAsia="zh-CN"/>
        </w:rPr>
        <w:t xml:space="preserve">4小时内到达现场，24小时内解决故障，24小时内不能解决故障的，</w:t>
      </w:r>
      <w:r>
        <w:rPr>
          <w:rFonts w:hint="eastAsia" w:ascii="宋体" w:hAnsi="宋体" w:eastAsia="宋体" w:cs="宋体"/>
          <w:color w:val="auto"/>
          <w:sz w:val="24"/>
          <w:szCs w:val="24"/>
          <w:lang w:val="en-US" w:eastAsia="zh-CN" w:bidi="ar-SA"/>
        </w:rPr>
        <w:t xml:space="preserve">应提供备用机、备件替代。若超时未完成故障排除，且不能及时提供备用机、备件替代的，中标人对因故障所造成的损失后果负责。所发生的一切费用均由中标人自行承担。</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2、中标人在质保期内安装的任何零配件，必须是设备原制造厂商生产的，所有的替代零配件必须是新的未使用和未经修复的。</w:t>
      </w:r>
      <w:r/>
    </w:p>
    <w:p>
      <w:pPr>
        <w:ind w:firstLine="480"/>
        <w:jc w:val="left"/>
        <w:keepLines w:val="0"/>
        <w:keepNext w:val="0"/>
        <w:pageBreakBefore w:val="0"/>
        <w:spacing w:before="20" w:after="20" w:line="360" w:lineRule="auto"/>
        <w:widowControl/>
        <w:rPr>
          <w:rFonts w:hint="default" w:ascii="宋体" w:hAnsi="宋体" w:eastAsia="宋体" w:cs="宋体"/>
          <w:color w:val="auto"/>
          <w:sz w:val="24"/>
          <w:szCs w:val="24"/>
          <w:lang w:val="en-US" w:eastAsia="en-US"/>
        </w:rPr>
      </w:pPr>
      <w:r>
        <w:rPr>
          <w:rFonts w:hint="eastAsia" w:ascii="宋体" w:hAnsi="宋体" w:eastAsia="宋体" w:cs="宋体"/>
          <w:color w:val="auto"/>
          <w:sz w:val="24"/>
          <w:szCs w:val="24"/>
          <w:lang w:val="en-US" w:eastAsia="zh-CN" w:bidi="ar-SA"/>
        </w:rPr>
        <w:t xml:space="preserve">3、质保期内免费上门维修，质保期外免收维修费，仅收配件费。在保修期内出现任何故障或损坏，投标人须免费负责更换或修理（人为故意损坏除外</w:t>
      </w:r>
      <w:r>
        <w:rPr>
          <w:rFonts w:hint="eastAsia" w:ascii="宋体" w:hAnsi="宋体" w:eastAsia="宋体" w:cs="宋体"/>
          <w:color w:val="auto"/>
          <w:sz w:val="24"/>
          <w:szCs w:val="24"/>
          <w:lang w:val="en-US" w:eastAsia="zh-CN" w:bidi="ar-SA"/>
        </w:rPr>
        <w:t xml:space="preserve">）。质保期外供应商及设备生产厂家对本设备终身负责维修服务和技术支持。供应商须提供最优惠的维修价格（出厂价零配件费、其他材料费等）进行相关服务，在设备寿命期内，供应商应能保证采购人更换到原厂零部件，保证维修配件的供应和及时维修，维修价格保持不变（政策调整因素除外）。供应商须提供仪器零配件和维修备品备件的价格，以及供应保障和维保期满后维保收费及维保方案，保修期外每年的设备维修保养费用：请在投标文件中注明保修期外购买保修服务所需费用（税后），3年—5年一般不超过设备原值的4%，5年以上一般不超过设备原值的5%。。</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4、应免费开放数据接口，以便采购人将该设备与相关信息系统连接。如连接需发生软件（含接口费）及硬件费用，其费用应含在投标报价内。</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（三）技术培训</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中标人应根据采购人的要求，上门对相关人员进行产品技术免费培训，并制定与投标文件相应的培训方案。培训对象、时间、地点由采购人确定。</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（四）后期维护</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Times New Roman"/>
          <w:color w:val="auto"/>
          <w:sz w:val="24"/>
          <w:szCs w:val="24"/>
          <w:highlight w:val="none"/>
          <w:lang w:val="en-US" w:eastAsia="zh-CN"/>
        </w:rPr>
        <w:t xml:space="preserve">设备每年免费设备维护和现场巡检至少2次。因中标人设计安装原因而出现故障，则质保期从故障修复之日起重新开始计算。同步延长设备免费维护。对于质保及产品售后服务，需要生产厂家和供应商共同根据招标文件要求出具质保及售后服务承诺书。</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（五）服务要求</w:t>
      </w:r>
      <w:r/>
    </w:p>
    <w:p>
      <w:pPr>
        <w:ind w:firstLine="480"/>
        <w:jc w:val="left"/>
        <w:keepLines w:val="0"/>
        <w:keepNext w:val="0"/>
        <w:pageBreakBefore w:val="0"/>
        <w:spacing w:before="20" w:after="20" w:line="360" w:lineRule="auto"/>
        <w:widowControl/>
        <w:rPr>
          <w:rFonts w:hint="eastAsia" w:ascii="宋体" w:hAnsi="宋体" w:eastAsia="宋体" w:cs="宋体"/>
          <w:color w:val="auto"/>
          <w:sz w:val="24"/>
          <w:szCs w:val="24"/>
          <w:lang w:eastAsia="en-US"/>
        </w:rPr>
      </w:pPr>
      <w:r>
        <w:rPr>
          <w:rFonts w:hint="eastAsia" w:ascii="宋体" w:hAnsi="宋体" w:eastAsia="宋体" w:cs="宋体"/>
          <w:color w:val="auto"/>
          <w:sz w:val="24"/>
          <w:szCs w:val="24"/>
          <w:lang w:val="en-US" w:eastAsia="zh-CN" w:bidi="ar-SA"/>
        </w:rPr>
        <w:t xml:space="preserve">1、中标人提供的设备，其品牌、型号和技术参数等必须符合招投标文件的相关要求和承诺事项。如有不符，采购人可无条件退货，由此所造成的损失由中标人承担。</w:t>
      </w:r>
      <w:r/>
    </w:p>
    <w:p>
      <w:pPr>
        <w:ind w:firstLine="480"/>
        <w:jc w:val="left"/>
        <w:pageBreakBefore w:val="0"/>
        <w:spacing w:after="0" w:line="360" w:lineRule="auto"/>
        <w:widowControl/>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4"/>
          <w:szCs w:val="24"/>
          <w:lang w:val="en-US" w:eastAsia="zh-CN" w:bidi="ar-SA"/>
        </w:rPr>
        <w:t xml:space="preserve">2、中标人应向采购人提供完整的技术资料壹套中、英文手册（技术说明书、使用说明书、维修手册、安装维修手册、操作手册、常用易消耗品单价等）、中华人民共和国医疗器械注册证等，各项指标和参数应符合验收标准，采购人有权委托中国有资格单位或机构对设备性能、精度进行校核。</w:t>
      </w:r>
      <w:r/>
    </w:p>
    <w:p>
      <w:pPr>
        <w:ind w:firstLine="482"/>
        <w:jc w:val="left"/>
        <w:pageBreakBefore w:val="0"/>
        <w:spacing w:after="0" w:line="360" w:lineRule="auto"/>
        <w:widowControl/>
        <w:rPr>
          <w:rFonts w:hint="default" w:ascii="宋体" w:hAnsi="宋体" w:eastAsia="宋体" w:cs="宋体"/>
          <w:color w:val="auto"/>
          <w:sz w:val="24"/>
          <w:szCs w:val="24"/>
          <w:highlight w:val="none"/>
          <w:lang w:eastAsia="en-US"/>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en-US"/>
        </w:rPr>
        <w:t xml:space="preserve">、</w:t>
      </w:r>
      <w:r>
        <w:rPr>
          <w:rFonts w:hint="eastAsia" w:ascii="宋体" w:hAnsi="宋体" w:eastAsia="宋体" w:cs="宋体"/>
          <w:b/>
          <w:bCs/>
          <w:color w:val="auto"/>
          <w:sz w:val="24"/>
          <w:szCs w:val="24"/>
          <w:highlight w:val="none"/>
          <w:lang w:val="en-US" w:eastAsia="zh-CN"/>
        </w:rPr>
        <w:t xml:space="preserve">质量保证要求</w:t>
      </w:r>
      <w:r/>
    </w:p>
    <w:p>
      <w:pPr>
        <w:ind w:firstLine="482"/>
        <w:jc w:val="left"/>
        <w:pageBreakBefore w:val="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1、产品技术要求：中标人所供产品，必须是全新的，未经使用过的正品。必须符合采购人所需的规格、性能和技术指标，并符合产品出厂质量标准、国家强制标准或行业强制标准，属计量器具的要符合国家计量检定标准，并承担验收合格后的首次计量费用。</w:t>
      </w:r>
      <w:r/>
    </w:p>
    <w:p>
      <w:pPr>
        <w:ind w:firstLine="482"/>
        <w:jc w:val="left"/>
        <w:pageBreakBefore w:val="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2、产品配置必须原厂出厂时全部自带，所有设备外包装箱（盒）不得自行拆封，包装箱（盒）上所有标签等不得涂改或撕毁，否则采购单位有权拒绝验收。</w:t>
      </w:r>
      <w:r/>
    </w:p>
    <w:p>
      <w:pPr>
        <w:ind w:firstLine="482"/>
        <w:jc w:val="left"/>
        <w:pageBreakBefore w:val="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3、货物到达现场（采购人指定地点）后，</w:t>
      </w:r>
      <w:r>
        <w:rPr>
          <w:rFonts w:hint="eastAsia" w:ascii="宋体" w:hAnsi="宋体" w:eastAsia="宋体" w:cs="宋体"/>
          <w:color w:val="auto"/>
          <w:sz w:val="24"/>
          <w:szCs w:val="24"/>
          <w:lang w:val="en-US" w:eastAsia="zh-CN" w:bidi="ar-SA"/>
        </w:rPr>
        <w:t xml:space="preserve">中标人</w:t>
      </w:r>
      <w:r>
        <w:rPr>
          <w:rFonts w:hint="eastAsia" w:ascii="宋体" w:hAnsi="宋体" w:eastAsia="宋体" w:cs="宋体"/>
          <w:color w:val="auto"/>
          <w:sz w:val="24"/>
          <w:szCs w:val="24"/>
          <w:highlight w:val="none"/>
          <w:lang w:val="en-US" w:eastAsia="zh-CN"/>
        </w:rPr>
        <w:t xml:space="preserve">应提供详细的发货清单、有关测试报告、产品合格证书，由中标人和采购人共同打开包装验货、检查货物数量、质量。如果货物数量、质量或技术规格与要求不符，或货物有明显损坏，中标人必须更换，采购人有权提出索赔。</w:t>
      </w:r>
      <w:r/>
    </w:p>
    <w:p>
      <w:pPr>
        <w:ind w:firstLine="482"/>
        <w:jc w:val="left"/>
        <w:pageBreakBefore w:val="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4、采购人在验收中发现产品达不到验收标准或合同规定的性能指标，中标人必须更换，并且赔偿由此给采购人造成的损失。验货合格后，双方共同签署验收合格证明。</w:t>
      </w:r>
      <w:r/>
    </w:p>
    <w:p>
      <w:pPr>
        <w:ind w:firstLine="482"/>
        <w:jc w:val="left"/>
        <w:pageBreakBefore w:val="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5、合同签订前，</w:t>
      </w:r>
      <w:r>
        <w:rPr>
          <w:rFonts w:hint="eastAsia" w:ascii="宋体" w:hAnsi="宋体" w:eastAsia="宋体" w:cs="宋体"/>
          <w:color w:val="auto"/>
          <w:sz w:val="24"/>
          <w:szCs w:val="24"/>
          <w:lang w:val="en-US" w:eastAsia="zh-CN" w:bidi="ar-SA"/>
        </w:rPr>
        <w:t xml:space="preserve">中标人</w:t>
      </w:r>
      <w:r>
        <w:rPr>
          <w:rFonts w:hint="eastAsia" w:ascii="宋体" w:hAnsi="宋体" w:eastAsia="宋体" w:cs="宋体"/>
          <w:color w:val="auto"/>
          <w:sz w:val="24"/>
          <w:szCs w:val="24"/>
          <w:highlight w:val="none"/>
          <w:lang w:val="en-US" w:eastAsia="zh-CN"/>
        </w:rPr>
        <w:t xml:space="preserve">对所投产品进行逐条功能演示，如与验收标准要求不符，则采购人有权拒签合同。</w:t>
      </w:r>
      <w:r/>
    </w:p>
    <w:p>
      <w:pPr>
        <w:ind w:firstLine="482"/>
        <w:jc w:val="left"/>
        <w:pageBreakBefore w:val="0"/>
        <w:spacing w:after="0"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七、验收标准（验收要求、验收标准和程序）要求</w:t>
      </w:r>
      <w:r/>
    </w:p>
    <w:p>
      <w:pPr>
        <w:ind w:firstLine="482"/>
        <w:jc w:val="left"/>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1.履约验收的时间、方式、程序要求：见招标文件第五章《拟签订的合同文本》。</w:t>
      </w:r>
      <w:r/>
    </w:p>
    <w:p>
      <w:pPr>
        <w:ind w:firstLine="482"/>
        <w:jc w:val="left"/>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验收标准要求：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中标人产品交付安装期间，采购人有权就交付产品进行随机抽样送第三方检测机构进行检测检验，如检测结果未达到招标文件相对应要求，采购人有权终止合同，造成的一切损失由卖方承担。</w:t>
      </w:r>
      <w:r/>
    </w:p>
    <w:p>
      <w:pPr>
        <w:ind w:firstLine="482"/>
        <w:jc w:val="left"/>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验收程序要求：合同标的全部交付并安装完毕后，乙方（中标人）可向甲方（采购人）书面提出验收要求，甲方（采购人）在接到书面要求后3日进行验收。合同乙方（中标人）需向甲方（采购人）提交合同标的的相关资料、文件、说明书等。</w:t>
      </w:r>
      <w:r/>
    </w:p>
    <w:p>
      <w:pPr>
        <w:ind w:firstLine="482"/>
        <w:jc w:val="left"/>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4.商品包装验收标准：见招标文件第五章《拟签订的合同文本》中商品（合同标的）包装具体要求。</w:t>
      </w:r>
      <w:r/>
    </w:p>
    <w:p>
      <w:pPr>
        <w:ind w:firstLine="482"/>
        <w:jc w:val="left"/>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5.快递包装验收标准：见招标文件第五章《拟签订的合同文本》中快递包装具体要求。</w:t>
      </w:r>
      <w:r/>
    </w:p>
    <w:p>
      <w:pPr>
        <w:ind w:firstLine="482"/>
        <w:jc w:val="left"/>
        <w:pageBreakBefore w:val="0"/>
        <w:spacing w:after="0" w:line="360" w:lineRule="auto"/>
        <w:widowControl/>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eastAsia="zh-CN"/>
        </w:rPr>
        <w:t xml:space="preserve">、其他要求</w:t>
      </w:r>
      <w:r/>
    </w:p>
    <w:p>
      <w:pPr>
        <w:jc w:val="left"/>
        <w:spacing w:after="200" w:line="276" w:lineRule="auto"/>
        <w:widowControl/>
        <w:rPr>
          <w:rFonts w:ascii="Calibri" w:hAnsi="Calibri" w:eastAsia="宋体" w:cs="Times New Roman"/>
          <w:sz w:val="22"/>
          <w:szCs w:val="22"/>
          <w:lang w:eastAsia="en-US"/>
        </w:rPr>
      </w:pPr>
      <w:r>
        <w:rPr>
          <w:rFonts w:hint="eastAsia" w:ascii="宋体" w:hAnsi="宋体" w:eastAsia="宋体" w:cs="宋体"/>
          <w:color w:val="auto"/>
          <w:sz w:val="24"/>
          <w:szCs w:val="24"/>
          <w:highlight w:val="none"/>
          <w:lang w:eastAsia="zh-CN"/>
        </w:rPr>
        <w:t xml:space="preserve">见招标文件第五章《拟签订的合同文本》。</w:t>
      </w:r>
      <w:r/>
    </w:p>
    <w:p>
      <w:pPr>
        <w:pStyle w:val="781"/>
        <w:numPr>
          <w:numId w:val="0"/>
        </w:numPr>
        <w:ind w:left="482"/>
        <w:rPr>
          <w:rFonts w:hint="eastAsia"/>
          <w:lang w:val="en-US" w:eastAsia="zh-CN"/>
        </w:rPr>
      </w:pPr>
      <w:r>
        <w:rPr>
          <w:rFonts w:hint="eastAsia"/>
          <w:lang w:val="en-US" w:eastAsia="zh-CN"/>
        </w:rPr>
      </w:r>
      <w:r/>
    </w:p>
    <w:p>
      <w:pPr>
        <w:ind w:firstLine="600"/>
        <w:jc w:val="center"/>
        <w:pageBreakBefore/>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第七章  投标文件相关格式</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spacing w:line="360" w:lineRule="auto"/>
        <w:rPr>
          <w:rFonts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 xml:space="preserve">目录</w:t>
      </w:r>
      <w:r/>
    </w:p>
    <w:p>
      <w:pPr>
        <w:ind w:firstLine="480"/>
        <w:spacing w:line="360" w:lineRule="auto"/>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 投标函</w:t>
      </w:r>
      <w:r/>
    </w:p>
    <w:p>
      <w:pPr>
        <w:ind w:firstLine="480"/>
        <w:spacing w:line="360" w:lineRule="auto"/>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 开标一览表</w:t>
      </w:r>
      <w:r/>
    </w:p>
    <w:p>
      <w:pPr>
        <w:ind w:firstLine="480"/>
        <w:spacing w:line="360" w:lineRule="auto"/>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3. 分项价格表</w:t>
      </w:r>
      <w:r/>
    </w:p>
    <w:p>
      <w:pPr>
        <w:ind w:firstLine="480"/>
        <w:spacing w:line="360" w:lineRule="auto"/>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4．偏离表</w:t>
      </w:r>
      <w:r/>
    </w:p>
    <w:p>
      <w:pPr>
        <w:ind w:firstLine="480"/>
        <w:spacing w:line="360" w:lineRule="auto"/>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5. 授权委托书</w:t>
      </w:r>
      <w:r/>
    </w:p>
    <w:p>
      <w:pPr>
        <w:ind w:firstLine="480"/>
        <w:spacing w:line="360" w:lineRule="auto"/>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6. 中小企业声明函</w:t>
      </w:r>
      <w:r/>
    </w:p>
    <w:p>
      <w:pPr>
        <w:ind w:firstLine="480"/>
        <w:spacing w:line="360" w:lineRule="auto"/>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7. 投标人参加政府采购活动前3年内在经营活动中没有重大违法记录的书面声明</w:t>
      </w:r>
      <w:r/>
    </w:p>
    <w:p>
      <w:pPr>
        <w:ind w:firstLine="480"/>
        <w:spacing w:line="360" w:lineRule="auto"/>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8. 残疾人福利性单位声明函</w:t>
      </w:r>
      <w:r/>
    </w:p>
    <w:p>
      <w:pPr>
        <w:ind w:firstLine="480"/>
        <w:spacing w:line="360" w:lineRule="auto"/>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9. 具备履行合同所必需的设备和专业技术能力的书面声明（附证明材料原件的扫描件）</w:t>
      </w:r>
      <w:r/>
    </w:p>
    <w:p>
      <w:pPr>
        <w:ind w:firstLine="480"/>
        <w:spacing w:line="360" w:lineRule="auto"/>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10. 投标人相关承诺</w:t>
      </w:r>
      <w:r/>
    </w:p>
    <w:p>
      <w:pPr>
        <w:ind w:firstLine="480"/>
        <w:spacing w:line="360" w:lineRule="auto"/>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11. 投标人书面声明</w:t>
      </w:r>
      <w:r/>
    </w:p>
    <w:p>
      <w:pPr>
        <w:ind w:firstLine="480"/>
        <w:spacing w:line="360" w:lineRule="auto"/>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12. 预付款保函支付条款模板</w:t>
      </w:r>
      <w:r/>
    </w:p>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both"/>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ind w:firstLine="560"/>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1.投标函</w:t>
      </w:r>
      <w:r/>
    </w:p>
    <w:p>
      <w:pPr>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u w:val="single"/>
          <w:lang w:eastAsia="zh-CN"/>
        </w:rPr>
        <w:t xml:space="preserve">中慧力祥项目管理有限公司</w:t>
      </w:r>
      <w:r/>
    </w:p>
    <w:p>
      <w:pPr>
        <w:ind w:firstLine="480"/>
        <w:jc w:val="left"/>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u w:val="single"/>
          <w:lang w:eastAsia="zh-CN"/>
        </w:rPr>
        <w:t xml:space="preserve">区域养老服务中心医养结合提升项目（一期）医疗、康复等相关运营设备采购</w:t>
      </w: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JSZC-320312-ZHNJ-G2025-0016</w:t>
      </w:r>
      <w:r>
        <w:rPr>
          <w:rFonts w:hint="eastAsia" w:ascii="仿宋" w:hAnsi="仿宋" w:eastAsia="仿宋" w:cs="仿宋"/>
          <w:color w:val="auto"/>
          <w:sz w:val="28"/>
          <w:szCs w:val="28"/>
          <w:highlight w:val="none"/>
        </w:rPr>
        <w:t xml:space="preserve">招标文件，_____(姓名)代表我方______________（投标人的名称）全权处理本次投标的有关事宜。</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据此函，投标人承诺并同意如下： </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1.投标人唯一投标报价见《开标一览表》。</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2.投标人将按招标文件的规定履行合同责任和义务。</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3.投标人已详细审查全部招标文件，包括第[插入编号] [补遗书][如果有的话]。投标人完全理解并同意放弃对这方面有不明及误解的权力。</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4.投标有效期为90天。</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5.投标人同意提供按照贵方可能要求的与其投标有关的一切数据或资料，完全理解贵方不一定接受最低价的投标或收到的任何投标。</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6.招标文件中关于“投标文件的密封要求”的规定由</w:t>
      </w:r>
      <w:r>
        <w:rPr>
          <w:rFonts w:hint="eastAsia" w:ascii="仿宋" w:hAnsi="仿宋" w:eastAsia="仿宋" w:cs="仿宋"/>
          <w:color w:val="auto"/>
          <w:sz w:val="28"/>
          <w:szCs w:val="28"/>
          <w:highlight w:val="none"/>
          <w:lang w:eastAsia="zh-CN"/>
        </w:rPr>
        <w:t xml:space="preserve">中慧力祥项目管理有限公司</w:t>
      </w:r>
      <w:r>
        <w:rPr>
          <w:rFonts w:hint="eastAsia" w:ascii="仿宋" w:hAnsi="仿宋" w:eastAsia="仿宋" w:cs="仿宋"/>
          <w:color w:val="auto"/>
          <w:sz w:val="28"/>
          <w:szCs w:val="28"/>
          <w:highlight w:val="none"/>
        </w:rPr>
        <w:t xml:space="preserve">解释，投标人完全理解招标文件中关于“投标文件的密封要求”的规定。</w:t>
      </w:r>
      <w:r/>
    </w:p>
    <w:p>
      <w:pPr>
        <w:ind w:right="29"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rPr>
          <w:rFonts w:hint="eastAsia" w:ascii="仿宋" w:hAnsi="仿宋" w:eastAsia="仿宋" w:cs="仿宋"/>
          <w:color w:val="auto"/>
          <w:sz w:val="28"/>
          <w:szCs w:val="28"/>
          <w:highlight w:val="none"/>
          <w:lang w:eastAsia="zh-CN"/>
        </w:rPr>
        <w:t xml:space="preserve">中慧力祥项目管理有限公司</w:t>
      </w:r>
      <w:r>
        <w:rPr>
          <w:rFonts w:hint="eastAsia" w:ascii="仿宋" w:hAnsi="仿宋" w:eastAsia="仿宋" w:cs="仿宋"/>
          <w:color w:val="auto"/>
          <w:sz w:val="28"/>
          <w:szCs w:val="28"/>
          <w:highlight w:val="none"/>
        </w:rPr>
        <w:t xml:space="preserve">有权将我单位本项目投标文件中的《开标一览表》和《分项价格表》予以公示，公示的方式由</w:t>
      </w:r>
      <w:r>
        <w:rPr>
          <w:rFonts w:hint="eastAsia" w:ascii="仿宋" w:hAnsi="仿宋" w:eastAsia="仿宋" w:cs="仿宋"/>
          <w:color w:val="auto"/>
          <w:sz w:val="28"/>
          <w:szCs w:val="28"/>
          <w:highlight w:val="none"/>
          <w:lang w:eastAsia="zh-CN"/>
        </w:rPr>
        <w:t xml:space="preserve">中慧力祥项目管理有限公司</w:t>
      </w:r>
      <w:r>
        <w:rPr>
          <w:rFonts w:hint="eastAsia" w:ascii="仿宋" w:hAnsi="仿宋" w:eastAsia="仿宋" w:cs="仿宋"/>
          <w:color w:val="auto"/>
          <w:sz w:val="28"/>
          <w:szCs w:val="28"/>
          <w:highlight w:val="none"/>
        </w:rPr>
        <w:t xml:space="preserve">确定。如我单位被确定为中标、成交供应商，</w:t>
      </w:r>
      <w:r>
        <w:rPr>
          <w:rFonts w:hint="eastAsia" w:ascii="仿宋" w:hAnsi="仿宋" w:eastAsia="仿宋" w:cs="仿宋"/>
          <w:color w:val="auto"/>
          <w:sz w:val="28"/>
          <w:szCs w:val="28"/>
          <w:highlight w:val="none"/>
          <w:lang w:eastAsia="zh-CN"/>
        </w:rPr>
        <w:t xml:space="preserve">中慧力祥项目管理有限公司</w:t>
      </w:r>
      <w:r>
        <w:rPr>
          <w:rFonts w:hint="eastAsia" w:ascii="仿宋" w:hAnsi="仿宋" w:eastAsia="仿宋" w:cs="仿宋"/>
          <w:color w:val="auto"/>
          <w:sz w:val="28"/>
          <w:szCs w:val="28"/>
          <w:highlight w:val="none"/>
        </w:rPr>
        <w:t xml:space="preserve">有权将我单位本项目投标文件中的《中小企业声明函》（如有）和《残疾人福利性单位声明函》（如有）作为《中标（成交）结果公告》的附件予以公告。</w:t>
      </w:r>
      <w:r/>
    </w:p>
    <w:p>
      <w:pPr>
        <w:ind w:right="29"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9.与本投标有关的一切正式往来信函请寄：</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电话：            手机号码： </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传真： </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投标人：（电子签章）</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ind w:firstLine="4560"/>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ind w:firstLine="56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ind w:firstLine="560"/>
        <w:jc w:val="center"/>
        <w:spacing w:line="360" w:lineRule="auto"/>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2．开标一览表</w:t>
      </w:r>
      <w:r/>
    </w:p>
    <w:p>
      <w:pPr>
        <w:ind w:firstLine="480"/>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区域养老服务中心医养结合提升项目（一期）医疗、康复等相关运营设备采购</w:t>
      </w:r>
      <w:r/>
    </w:p>
    <w:p>
      <w:pPr>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JSZC-320312-ZHNJ-G2025-0016</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货币单位：人民币元</w:t>
      </w:r>
      <w:r/>
    </w:p>
    <w:tbl>
      <w:tblPr>
        <w:tblStyle w:val="780"/>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Borders>
              <w:top w:val="single" w:color="000000" w:sz="6" w:space="0"/>
              <w:left w:val="single" w:color="000000" w:sz="2" w:space="0"/>
              <w:bottom w:val="single" w:color="000000" w:sz="2" w:space="0"/>
              <w:right w:val="single" w:color="000000" w:sz="4" w:space="0"/>
            </w:tcBorders>
            <w:tcW w:w="3855" w:type="dxa"/>
            <w:vAlign w:val="center"/>
            <w:textDirection w:val="lrTb"/>
            <w:noWrap w:val="false"/>
          </w:tcPr>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项目内容</w:t>
            </w:r>
            <w:r/>
          </w:p>
        </w:tc>
        <w:tc>
          <w:tcPr>
            <w:tcBorders>
              <w:top w:val="single" w:color="000000" w:sz="6" w:space="0"/>
              <w:left w:val="single" w:color="000000"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区域养老服务中心医养结合提升项目（一期）医疗、康复等相关运营设备采购</w:t>
            </w:r>
            <w:r/>
          </w:p>
        </w:tc>
        <w:tc>
          <w:tcPr>
            <w:tcBorders>
              <w:top w:val="single" w:color="000000" w:sz="2" w:space="0"/>
              <w:left w:val="single" w:color="000000" w:sz="2" w:space="0"/>
              <w:right w:val="single" w:color="000000" w:sz="4" w:space="0"/>
            </w:tcBorders>
            <w:tcW w:w="3855" w:type="dxa"/>
            <w:vAlign w:val="center"/>
            <w:textDirection w:val="lrTb"/>
            <w:noWrap w:val="false"/>
          </w:tcPr>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详见投标文件  </w:t>
            </w:r>
            <w:r/>
          </w:p>
        </w:tc>
        <w:tc>
          <w:tcPr>
            <w:tcBorders>
              <w:top w:val="single" w:color="000000" w:sz="2" w:space="0"/>
              <w:left w:val="single" w:color="000000" w:sz="4" w:space="0"/>
              <w:right w:val="single" w:color="000000" w:sz="2" w:space="0"/>
            </w:tcBorders>
            <w:tcW w:w="1770" w:type="dxa"/>
            <w:vAlign w:val="center"/>
            <w:textDirection w:val="lrTb"/>
            <w:noWrap w:val="false"/>
          </w:tcPr>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总价（大写）：</w:t>
            </w:r>
            <w:r/>
          </w:p>
        </w:tc>
      </w:tr>
    </w:tbl>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03"/>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03"/>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投标人：（电子签章）</w:t>
      </w:r>
      <w:r/>
    </w:p>
    <w:p>
      <w:pPr>
        <w:ind w:firstLine="48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560"/>
        <w:jc w:val="center"/>
        <w:spacing w:line="360" w:lineRule="auto"/>
        <w:rPr>
          <w:rFonts w:ascii="仿宋" w:hAnsi="仿宋" w:eastAsia="仿宋" w:cs="仿宋"/>
          <w:color w:val="auto"/>
          <w:sz w:val="32"/>
          <w:szCs w:val="32"/>
          <w:highlight w:val="none"/>
        </w:rPr>
      </w:pPr>
      <w:r>
        <w:rPr>
          <w:rFonts w:hint="eastAsia" w:ascii="仿宋" w:hAnsi="仿宋" w:eastAsia="仿宋" w:cs="仿宋"/>
          <w:color w:val="auto"/>
          <w:sz w:val="24"/>
          <w:highlight w:val="none"/>
        </w:rPr>
        <w:br w:type="page" w:clear="all"/>
      </w:r>
      <w:r>
        <w:rPr>
          <w:rFonts w:hint="eastAsia" w:ascii="仿宋" w:hAnsi="仿宋" w:eastAsia="仿宋" w:cs="仿宋"/>
          <w:b/>
          <w:bCs/>
          <w:color w:val="auto"/>
          <w:sz w:val="32"/>
          <w:szCs w:val="32"/>
          <w:highlight w:val="none"/>
        </w:rPr>
        <w:t xml:space="preserve">3．分项价格表</w:t>
      </w:r>
      <w:r/>
    </w:p>
    <w:p>
      <w:pPr>
        <w:ind w:firstLine="480"/>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区域养老服务中心医养结合提升项目（一期）医疗、康复等相关运营设备采购</w:t>
      </w:r>
      <w:r/>
    </w:p>
    <w:p>
      <w:pPr>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JSZC-320312-ZHNJ-G2025-0016</w:t>
      </w:r>
      <w:r/>
    </w:p>
    <w:p>
      <w:pPr>
        <w:ind w:firstLine="480"/>
        <w:jc w:val="right"/>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货币单位：人民币元</w:t>
      </w:r>
      <w:r/>
    </w:p>
    <w:p>
      <w:pPr>
        <w:ind w:firstLine="1080"/>
        <w:jc w:val="center"/>
        <w:rPr>
          <w:rFonts w:ascii="仿宋" w:hAnsi="仿宋" w:eastAsia="仿宋"/>
          <w:color w:val="auto"/>
          <w:sz w:val="28"/>
          <w:szCs w:val="28"/>
          <w:highlight w:val="none"/>
        </w:rPr>
      </w:pPr>
      <w:r>
        <w:rPr>
          <w:rFonts w:ascii="仿宋" w:hAnsi="仿宋" w:eastAsia="仿宋"/>
          <w:color w:val="auto"/>
          <w:sz w:val="28"/>
          <w:szCs w:val="28"/>
          <w:highlight w:val="none"/>
        </w:rPr>
      </w:r>
      <w:r/>
    </w:p>
    <w:tbl>
      <w:tblPr>
        <w:tblStyle w:val="780"/>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w:t>
            </w:r>
            <w:r/>
          </w:p>
        </w:tc>
        <w:tc>
          <w:tcPr>
            <w:shd w:val="clear" w:color="auto" w:fill="c0c0c0"/>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总价合计（即《开标一览表》中的“总价”）</w:t>
            </w:r>
            <w:r/>
          </w:p>
        </w:tc>
        <w:tc>
          <w:tcPr>
            <w:gridSpan w:val="6"/>
            <w:tcW w:w="6008" w:type="dxa"/>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投标人：（电子签章）</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ind w:firstLine="480"/>
        <w:spacing w:line="360" w:lineRule="auto"/>
        <w:widowControl/>
        <w:rPr>
          <w:rFonts w:hint="eastAsia" w:ascii="仿宋" w:hAnsi="仿宋" w:eastAsia="仿宋" w:cs="仿宋"/>
          <w:color w:val="auto"/>
          <w:sz w:val="32"/>
          <w:szCs w:val="32"/>
          <w:highlight w:val="none"/>
        </w:rPr>
        <w:outlineLvl w:val="2"/>
      </w:pPr>
      <w:r>
        <w:rPr>
          <w:rFonts w:hint="eastAsia" w:ascii="仿宋" w:hAnsi="仿宋" w:eastAsia="仿宋" w:cs="仿宋"/>
          <w:color w:val="auto"/>
          <w:sz w:val="32"/>
          <w:szCs w:val="32"/>
          <w:highlight w:val="none"/>
        </w:rPr>
        <w:t xml:space="preserve">说明：</w:t>
      </w:r>
      <w:r/>
    </w:p>
    <w:p>
      <w:pPr>
        <w:ind w:firstLine="480"/>
        <w:spacing w:line="360" w:lineRule="auto"/>
        <w:widowControl/>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spacing w:line="360" w:lineRule="auto"/>
        <w:widowControl/>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spacing w:line="360" w:lineRule="auto"/>
        <w:widowControl/>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3、享受政府采购支持政策的残疾人福利性单位的条件以《三部门联合发布关于促进残疾人就业政府采购政策的通知》（财库〔2017〕141号）规定为准。</w:t>
      </w:r>
      <w:r/>
    </w:p>
    <w:p>
      <w:pPr>
        <w:ind w:firstLine="480"/>
        <w:spacing w:line="360" w:lineRule="auto"/>
        <w:widowControl/>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注：1．</w:t>
      </w:r>
      <w:r>
        <w:rPr>
          <w:rFonts w:hint="eastAsia" w:ascii="仿宋" w:hAnsi="仿宋" w:eastAsia="仿宋" w:cs="仿宋"/>
          <w:b/>
          <w:bCs/>
          <w:color w:val="auto"/>
          <w:sz w:val="28"/>
          <w:szCs w:val="28"/>
          <w:highlight w:val="none"/>
        </w:rPr>
        <w:t xml:space="preserve">如果不提供详细分项报价将视为没有实质性响应招标文件。</w:t>
      </w:r>
      <w:r/>
    </w:p>
    <w:p>
      <w:pPr>
        <w:ind w:firstLine="9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投标人对以上数据的真实性负责。</w:t>
      </w:r>
      <w:r/>
    </w:p>
    <w:p>
      <w:pPr>
        <w:ind w:firstLine="960"/>
        <w:spacing w:line="360" w:lineRule="auto"/>
        <w:widowControl/>
        <w:rPr>
          <w:rFonts w:ascii="仿宋" w:hAnsi="仿宋" w:eastAsia="仿宋" w:cs="仿宋"/>
          <w:i/>
          <w:iCs/>
          <w:color w:val="auto"/>
          <w:sz w:val="28"/>
          <w:szCs w:val="28"/>
          <w:highlight w:val="none"/>
          <w:u w:val="single"/>
        </w:rPr>
        <w:outlineLvl w:val="2"/>
      </w:pPr>
      <w:r>
        <w:rPr>
          <w:rFonts w:hint="eastAsia" w:ascii="仿宋" w:hAnsi="仿宋" w:eastAsia="仿宋" w:cs="仿宋"/>
          <w:i/>
          <w:iCs/>
          <w:color w:val="auto"/>
          <w:sz w:val="28"/>
          <w:szCs w:val="28"/>
          <w:highlight w:val="none"/>
          <w:u w:val="single"/>
        </w:rPr>
        <w:t xml:space="preserve">采购人或采购代理机构有权将以上内容进行公示。</w:t>
      </w:r>
      <w:r/>
    </w:p>
    <w:p>
      <w:pPr>
        <w:ind w:firstLine="480"/>
        <w:rPr>
          <w:rFonts w:ascii="仿宋" w:hAnsi="仿宋" w:eastAsia="仿宋" w:cs="仿宋"/>
          <w:i/>
          <w:color w:val="auto"/>
          <w:sz w:val="24"/>
          <w:highlight w:val="none"/>
          <w:u w:val="single"/>
        </w:rPr>
      </w:pPr>
      <w:r>
        <w:rPr>
          <w:rFonts w:hint="eastAsia" w:ascii="仿宋" w:hAnsi="仿宋" w:eastAsia="仿宋" w:cs="仿宋"/>
          <w:i/>
          <w:color w:val="auto"/>
          <w:sz w:val="24"/>
          <w:highlight w:val="none"/>
          <w:u w:val="single"/>
        </w:rPr>
        <w:br w:type="page" w:clear="all"/>
      </w:r>
      <w:r/>
    </w:p>
    <w:p>
      <w:pPr>
        <w:ind w:firstLine="560"/>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4．偏离表</w:t>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0"/>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区域养老服务中心医养结合提升项目（一期）医疗、康复等相关运营设备采购</w:t>
      </w:r>
      <w:r/>
    </w:p>
    <w:p>
      <w:pPr>
        <w:ind w:firstLine="480"/>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JSZC-320312-ZHNJ-G2025-0016</w:t>
      </w:r>
      <w:r/>
    </w:p>
    <w:tbl>
      <w:tblPr>
        <w:tblStyle w:val="780"/>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60" w:lineRule="auto"/>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spacing w:line="360" w:lineRule="auto"/>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spacing w:line="360" w:lineRule="auto"/>
              <w:rPr>
                <w:rFonts w:hint="eastAsia" w:ascii="仿宋" w:hAnsi="仿宋" w:eastAsia="仿宋" w:cs="仿宋"/>
                <w:caps/>
                <w:color w:val="auto"/>
                <w:sz w:val="28"/>
                <w:szCs w:val="28"/>
                <w:highlight w:val="none"/>
              </w:rPr>
            </w:pPr>
            <w:r>
              <w:rPr>
                <w:rFonts w:hint="eastAsia" w:ascii="仿宋" w:hAnsi="仿宋" w:eastAsia="仿宋" w:cs="仿宋"/>
                <w:color w:val="auto"/>
                <w:sz w:val="28"/>
                <w:szCs w:val="28"/>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仿宋" w:hAnsi="仿宋" w:eastAsia="仿宋" w:cs="仿宋"/>
                <w:caps/>
                <w:color w:val="auto"/>
                <w:sz w:val="28"/>
                <w:szCs w:val="28"/>
                <w:highlight w:val="none"/>
              </w:rPr>
            </w:pPr>
            <w:r>
              <w:rPr>
                <w:rFonts w:hint="eastAsia" w:ascii="仿宋" w:hAnsi="仿宋" w:eastAsia="仿宋" w:cs="仿宋"/>
                <w:color w:val="auto"/>
                <w:sz w:val="28"/>
                <w:szCs w:val="28"/>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spacing w:line="360" w:lineRule="auto"/>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60" w:lineRule="auto"/>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ind w:firstLine="480"/>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注：投标人的投标文件中的内容与招标文件（含招标文件的澄清或者修改的内容，下同）的要求不同时，逐条列在偏离表中，否则将认为投标人接受招标文件的要求。</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投标人：（电子签章）  </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ind w:firstLine="560"/>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5. 授权委托书</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法定代表人（负责人）：               职务：</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统一社会信用代码：</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                   性别：男（女）  </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年龄：  岁                 民族：   族</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职务：</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p>
      <w:pPr>
        <w:ind w:firstLine="48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      ）全权代表我企业（公司）参与（</w:t>
      </w:r>
      <w:r>
        <w:rPr>
          <w:rFonts w:hint="eastAsia" w:ascii="仿宋" w:hAnsi="仿宋" w:eastAsia="仿宋" w:cs="仿宋"/>
          <w:color w:val="auto"/>
          <w:sz w:val="28"/>
          <w:szCs w:val="28"/>
          <w:highlight w:val="none"/>
          <w:lang w:eastAsia="zh-CN"/>
        </w:rPr>
        <w:t xml:space="preserve">区域养老服务中心医养结合提升项目（一期）医疗、康复等相关运营设备采购</w:t>
      </w:r>
      <w:r>
        <w:rPr>
          <w:rFonts w:hint="eastAsia" w:ascii="仿宋" w:hAnsi="仿宋" w:eastAsia="仿宋" w:cs="仿宋"/>
          <w:color w:val="auto"/>
          <w:sz w:val="28"/>
          <w:szCs w:val="28"/>
          <w:highlight w:val="none"/>
        </w:rPr>
        <w:t xml:space="preserve">）项目（项目编号：</w:t>
      </w:r>
      <w:r>
        <w:rPr>
          <w:rFonts w:hint="eastAsia" w:ascii="仿宋" w:hAnsi="仿宋" w:eastAsia="仿宋" w:cs="仿宋"/>
          <w:color w:val="auto"/>
          <w:sz w:val="28"/>
          <w:szCs w:val="28"/>
          <w:highlight w:val="none"/>
          <w:lang w:eastAsia="zh-CN"/>
        </w:rPr>
        <w:t xml:space="preserve">JSZC-320312-ZHNJ-G2025-0016</w:t>
      </w:r>
      <w:r>
        <w:rPr>
          <w:rFonts w:hint="eastAsia" w:ascii="仿宋" w:hAnsi="仿宋" w:eastAsia="仿宋" w:cs="仿宋"/>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特此授权委托。</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委托人（公章）：             受托人（签字）：</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法定代表人（负责人）（签字）： </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年   月   日 </w:t>
      </w:r>
      <w:r/>
    </w:p>
    <w:p>
      <w:pPr>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(受托人身份证原件扫描件附后)</w:t>
      </w:r>
      <w:r/>
    </w:p>
    <w:p>
      <w:pPr>
        <w:ind w:firstLine="560"/>
        <w:jc w:val="center"/>
        <w:spacing w:line="360" w:lineRule="auto"/>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ind w:firstLine="56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6.中小企业声明函</w:t>
      </w:r>
      <w:r/>
    </w:p>
    <w:p>
      <w:pPr>
        <w:jc w:val="center"/>
        <w:spacing w:line="360" w:lineRule="auto"/>
        <w:rPr>
          <w:rFonts w:hint="eastAsia" w:ascii="仿宋" w:hAnsi="仿宋" w:eastAsia="仿宋" w:cs="仿宋"/>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6"/>
          <w:sz w:val="32"/>
          <w:szCs w:val="32"/>
          <w:highlight w:val="none"/>
        </w:rPr>
        <w:t xml:space="preserve">（如投标人所投产品制造商不属于中小企业，不需要提供此声明函）</w:t>
      </w:r>
      <w:r/>
    </w:p>
    <w:p>
      <w:pPr>
        <w:spacing w:before="100" w:after="10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JSZC-320312-ZHNJ-G2025-0016</w:t>
      </w:r>
      <w:r/>
    </w:p>
    <w:p>
      <w:pPr>
        <w:spacing w:before="100" w:after="10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区域养老服务中心医养结合提升项目（一期）医疗、康复等相关运营设备采购</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本公司郑重声明，根据《政府采购促进中小企业发展管理办法》（财库[2020]46号）的规定，本公司参加（</w:t>
      </w:r>
      <w:r>
        <w:rPr>
          <w:rFonts w:hint="eastAsia" w:ascii="仿宋" w:hAnsi="仿宋" w:eastAsia="仿宋" w:cs="仿宋"/>
          <w:color w:val="auto"/>
          <w:sz w:val="28"/>
          <w:szCs w:val="28"/>
          <w:highlight w:val="none"/>
          <w:u w:val="single"/>
          <w:lang w:eastAsia="zh-CN"/>
        </w:rPr>
        <w:t xml:space="preserve">徐州市铜山区民政局（机关）</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lang w:eastAsia="zh-CN"/>
        </w:rPr>
        <w:t xml:space="preserve">区域养老服务中心医养结合提升项目（一期）医疗、康复等相关运营设备采购</w:t>
      </w:r>
      <w:r>
        <w:rPr>
          <w:rFonts w:hint="eastAsia" w:ascii="仿宋" w:hAnsi="仿宋" w:eastAsia="仿宋" w:cs="仿宋"/>
          <w:color w:val="auto"/>
          <w:sz w:val="28"/>
          <w:szCs w:val="28"/>
          <w:highlight w:val="none"/>
        </w:rPr>
        <w:t xml:space="preserve">）采购活动，提供的货物全部由符合政策要求的中小企业制造。相关企业的具体情况如下：</w:t>
      </w:r>
      <w:r/>
    </w:p>
    <w:p>
      <w:pPr>
        <w:ind w:firstLine="48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u w:val="single"/>
          <w:lang w:val="en-US" w:eastAsia="zh-CN"/>
        </w:rPr>
        <w:t xml:space="preserve">除颤监护仪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ind w:firstLine="48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污水处理设备</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；承建（承接）企业为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移动紫外线消毒灯</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心电图</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心电监护仪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治疗车</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抢救车</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吸引器</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药柜</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血细胞分析仪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尿分析仪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彩超</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担架车</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床边可移动升降餐桌</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助浴椅</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助浴床</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17</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轮椅</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18</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医用制氧机10升</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烘干机(50kg)</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半导体治疗仪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电脑中频治疗仪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经皮神经电刺激仪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超声波治疗仪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磁振热治疗仪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立体动态干扰电治疗仪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微波治疗仪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27</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红外光灸疗机</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颈腰椎多功能牵引床</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多关节主被动训练仪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OT综合治疗桌</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31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PT训练床</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32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多体位医用诊疗床</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电针治疗仪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电动多体位医用诊疗床</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深层肌肉刺激仪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36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磁疗康复仪（带激光）</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37</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饮用水设备</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38</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床单元(床上用品)</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护理床</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40</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无创呼吸机</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41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关节康复器</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42</w:t>
      </w:r>
      <w:r>
        <w:rPr>
          <w:rFonts w:hint="eastAsia" w:ascii="仿宋" w:hAnsi="仿宋" w:eastAsia="仿宋" w:cs="仿宋"/>
          <w:color w:val="auto"/>
          <w:sz w:val="28"/>
          <w:szCs w:val="28"/>
          <w:highlight w:val="none"/>
          <w:lang w:eastAsia="zh-CN"/>
        </w:rPr>
        <w:t xml:space="preserve">.</w:t>
      </w:r>
      <w:r>
        <w:rPr>
          <w:rFonts w:ascii="宋体" w:hAnsi="宋体" w:eastAsia="宋体" w:cs="宋体"/>
          <w:color w:val="000000"/>
          <w:sz w:val="28"/>
          <w:szCs w:val="28"/>
          <w:u w:val="single"/>
        </w:rPr>
        <w:t xml:space="preserve">适老无障碍化餐桌椅</w:t>
      </w:r>
      <w:r>
        <w:rPr>
          <w:rFonts w:hint="eastAsia" w:ascii="仿宋" w:hAnsi="仿宋" w:eastAsia="仿宋" w:cs="仿宋"/>
          <w:color w:val="auto"/>
          <w:sz w:val="28"/>
          <w:szCs w:val="28"/>
          <w:highlight w:val="none"/>
          <w:u w:val="single"/>
          <w:lang w:val="en-US" w:eastAsia="zh-CN"/>
        </w:rPr>
        <w:t xml:space="preserve">（可供 10 人就餐）</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43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洗衣机</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44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静脉穿刺定位仪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45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全自动护理床</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46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心电图工作站</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47</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电子血压计</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48</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医疗废弃物推车</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49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电视机</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50</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洗澡间适老扶手</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热水器</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超声脉冲电导治疗仪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中医定向透药治疗仪</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熏蒸治疗机</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w:t>
      </w:r>
      <w:r>
        <w:rPr>
          <w:rFonts w:hint="eastAsia" w:ascii="仿宋" w:hAnsi="仿宋" w:eastAsia="仿宋" w:cs="仿宋"/>
          <w:color w:val="auto"/>
          <w:sz w:val="28"/>
          <w:szCs w:val="28"/>
          <w:highlight w:val="none"/>
          <w:u w:val="single"/>
          <w:lang w:eastAsia="zh-CN"/>
        </w:rPr>
        <w:t xml:space="preserve">（</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中型企业、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小型企业、</w:t>
      </w:r>
      <w:r>
        <w:rPr>
          <w:rFonts w:hint="default" w:ascii="Wingdings 2" w:hAnsi="Wingdings 2" w:eastAsia="Wingdings 2" w:cs="Wingdings 2"/>
          <w:color w:val="auto"/>
          <w:sz w:val="24"/>
          <w:highlight w:val="none"/>
          <w:u w:val="single"/>
          <w:lang w:eastAsia="zh-CN"/>
        </w:rPr>
        <w:t xml:space="preserve">£</w:t>
      </w:r>
      <w:r>
        <w:rPr>
          <w:rFonts w:hint="eastAsia" w:ascii="仿宋" w:hAnsi="仿宋" w:eastAsia="仿宋" w:cs="仿宋"/>
          <w:color w:val="auto"/>
          <w:sz w:val="28"/>
          <w:szCs w:val="28"/>
          <w:highlight w:val="none"/>
          <w:u w:val="single"/>
          <w:lang w:eastAsia="zh-CN"/>
        </w:rPr>
        <w:t xml:space="preserve">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pStyle w:val="987"/>
        <w:ind w:left="0"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本企业对上述声明内容的真实性负责。如有虚假，将依法承担相应责任。</w:t>
      </w:r>
      <w:r/>
    </w:p>
    <w:p>
      <w:pPr>
        <w:pStyle w:val="987"/>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987"/>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企业名称（电子签章）：</w:t>
      </w:r>
      <w:r/>
    </w:p>
    <w:p>
      <w:pPr>
        <w:pStyle w:val="987"/>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日期：  年  月  日</w:t>
      </w:r>
      <w:r/>
    </w:p>
    <w:p>
      <w:pPr>
        <w:pStyle w:val="793"/>
        <w:ind w:right="480" w:firstLine="324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93"/>
        <w:ind w:left="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注：本项目采购的货物属于</w:t>
      </w:r>
      <w:r>
        <w:rPr>
          <w:rFonts w:hint="eastAsia" w:ascii="仿宋" w:hAnsi="仿宋" w:eastAsia="仿宋" w:cs="仿宋"/>
          <w:color w:val="auto"/>
          <w:sz w:val="28"/>
          <w:szCs w:val="28"/>
          <w:highlight w:val="none"/>
          <w:u w:val="single"/>
        </w:rPr>
        <w:t xml:space="preserve">工业（制造业）</w:t>
      </w:r>
      <w:r>
        <w:rPr>
          <w:rFonts w:hint="eastAsia" w:ascii="仿宋" w:hAnsi="仿宋" w:eastAsia="仿宋" w:cs="仿宋"/>
          <w:color w:val="auto"/>
          <w:sz w:val="28"/>
          <w:szCs w:val="28"/>
          <w:highlight w:val="none"/>
        </w:rPr>
        <w:t xml:space="preserve">。</w:t>
      </w:r>
      <w:r/>
    </w:p>
    <w:p>
      <w:pPr>
        <w:pStyle w:val="977"/>
        <w:ind w:firstLine="482"/>
        <w:spacing w:line="36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备注：1.从业人员、营业收入、资产总额填报上一年度数据，无上一年度数据的新成立企业可不填报。</w:t>
      </w:r>
      <w:r/>
    </w:p>
    <w:p>
      <w:pPr>
        <w:ind w:firstLine="600"/>
        <w:jc w:val="center"/>
        <w:spacing w:after="40" w:line="276" w:lineRule="auto"/>
        <w:rPr>
          <w:rFonts w:hint="default" w:hAnsi="宋体" w:eastAsia="宋体" w:cs="宋体" w:asciiTheme="minorHAnsi"/>
          <w:b/>
          <w:bCs/>
          <w:color w:val="auto"/>
          <w:sz w:val="24"/>
          <w:szCs w:val="24"/>
          <w:lang w:val="en-US" w:eastAsia="zh-CN" w:bidi="ar-SA"/>
        </w:rPr>
      </w:pPr>
      <w:r>
        <w:rPr>
          <w:rFonts w:hint="eastAsia" w:ascii="仿宋" w:hAnsi="仿宋" w:eastAsia="仿宋" w:cs="仿宋"/>
          <w:b/>
          <w:bCs/>
          <w:color w:val="auto"/>
          <w:sz w:val="28"/>
          <w:szCs w:val="28"/>
          <w:highlight w:val="none"/>
        </w:rPr>
        <w:t xml:space="preserve">2.《中小企业声明函》查询渠道参考工业和信息化部发布的中小企业规模自测小程序。</w:t>
      </w:r>
      <w:r/>
    </w:p>
    <w:p>
      <w:pPr>
        <w:jc w:val="center"/>
        <w:spacing w:line="360" w:lineRule="auto"/>
        <w:rPr>
          <w:rFonts w:hint="default" w:ascii="宋体" w:hAnsi="宋体" w:cs="宋体"/>
          <w:b/>
          <w:bCs/>
          <w:color w:val="auto"/>
          <w:sz w:val="36"/>
          <w:szCs w:val="36"/>
          <w:lang w:eastAsia="zh-CN"/>
        </w:rPr>
      </w:pPr>
      <w:r>
        <w:rPr>
          <w:rFonts w:hint="default" w:ascii="宋体" w:hAnsi="宋体" w:cs="宋体"/>
          <w:b/>
          <w:bCs/>
          <w:color w:val="auto"/>
          <w:sz w:val="36"/>
          <w:szCs w:val="36"/>
          <w:lang w:eastAsia="zh-CN"/>
        </w:rPr>
      </w:r>
      <w:r/>
    </w:p>
    <w:p>
      <w:pPr>
        <w:ind w:left="798"/>
        <w:jc w:val="center"/>
        <w:pageBreakBefore w:val="0"/>
        <w:spacing w:before="210" w:after="210" w:line="360" w:lineRule="auto"/>
        <w:rPr>
          <w:rFonts w:hint="default"/>
          <w:color w:val="auto"/>
          <w:sz w:val="24"/>
          <w:szCs w:val="24"/>
          <w:highlight w:val="none"/>
        </w:rPr>
        <w:pBdr>
          <w:top w:val="none" w:color="000000" w:sz="0" w:space="0"/>
          <w:left w:val="none" w:color="000000" w:sz="0" w:space="0"/>
          <w:bottom w:val="none" w:color="000000" w:sz="0" w:space="0"/>
          <w:right w:val="none" w:color="000000" w:sz="0" w:space="0"/>
        </w:pBdr>
      </w:pPr>
      <w:r>
        <w:rPr>
          <w:rFonts w:hint="default"/>
          <w:color w:val="auto"/>
          <w:lang w:eastAsia="zh-CN"/>
        </w:rPr>
        <mc:AlternateContent>
          <mc:Choice Requires="wpg">
            <w:drawing>
              <wp:inline xmlns:wp="http://schemas.openxmlformats.org/drawingml/2006/wordprocessingDrawing" distT="0" distB="0" distL="0" distR="0">
                <wp:extent cx="2736215" cy="5634355"/>
                <wp:effectExtent l="0" t="0" r="6985" b="4445"/>
                <wp:docPr id="3"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descr="D:\Tencent\微信\WeChat Files\wxid_1c6io8gl77vj22\FileStorage\Temp\912730e80772119968377d556d5bbbe.jpg"/>
                        <pic:cNvPicPr>
                          <a:picLocks noChangeAspect="1"/>
                        </pic:cNvPicPr>
                        <pic:nvPr/>
                      </pic:nvPicPr>
                      <pic:blipFill>
                        <a:blip r:embed="rId16"/>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5.4pt;height:443.6pt;mso-wrap-distance-left:0.0pt;mso-wrap-distance-top:0.0pt;mso-wrap-distance-right:0.0pt;mso-wrap-distance-bottom:0.0pt;" stroked="f">
                <v:path textboxrect="0,0,0,0"/>
                <v:imagedata r:id="rId16" o:title=""/>
              </v:shape>
            </w:pict>
          </mc:Fallback>
        </mc:AlternateContent>
      </w:r>
      <w:r/>
    </w:p>
    <w:p>
      <w:pPr>
        <w:ind w:left="798"/>
        <w:spacing w:before="210" w:after="210" w:line="36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sz w:val="24"/>
          <w:szCs w:val="24"/>
          <w:lang w:eastAsia="zh-CN"/>
        </w:rPr>
        <w:t xml:space="preserve"> </w:t>
      </w:r>
      <w:r/>
    </w:p>
    <w:p>
      <w:pPr>
        <w:pStyle w:val="988"/>
        <w:ind w:firstLine="480"/>
        <w:jc w:val="both"/>
        <w:spacing w:before="0" w:beforeAutospacing="0" w:after="0" w:afterAutospacing="0" w:line="360" w:lineRule="auto"/>
        <w:shd w:val="clear" w:color="auto" w:fill="ffff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为方便中小企业和社会各界使用自测结果，小程序增加自测结果打印功能，测试者可按照小程序填写测试企业有关信息并完成自测后，保存自测结果自行打印。</w:t>
      </w:r>
      <w:r/>
    </w:p>
    <w:p>
      <w:pPr>
        <w:pStyle w:val="988"/>
        <w:ind w:firstLine="480"/>
        <w:jc w:val="both"/>
        <w:spacing w:before="0" w:beforeAutospacing="0" w:after="0" w:afterAutospacing="0" w:line="360" w:lineRule="auto"/>
        <w:shd w:val="clear" w:color="auto" w:fill="ffff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如有疑问，可与市工信局中小企业综合协调处咨询联系。联系电话：0516-83861958。</w:t>
      </w:r>
      <w:r/>
    </w:p>
    <w:p>
      <w:pPr>
        <w:ind w:firstLine="56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ind w:firstLine="560"/>
        <w:jc w:val="center"/>
        <w:spacing w:line="360" w:lineRule="auto"/>
        <w:rPr>
          <w:rFonts w:hint="eastAsia" w:ascii="仿宋" w:hAnsi="仿宋" w:eastAsia="仿宋" w:cs="仿宋"/>
          <w:b/>
          <w:bCs/>
          <w:color w:val="auto"/>
          <w:spacing w:val="6"/>
          <w:sz w:val="32"/>
          <w:szCs w:val="32"/>
          <w:highlight w:val="none"/>
        </w:rPr>
        <w:outlineLvl w:val="0"/>
      </w:pPr>
      <w:r>
        <w:rPr>
          <w:rFonts w:hint="eastAsia" w:ascii="仿宋" w:hAnsi="仿宋" w:eastAsia="仿宋" w:cs="仿宋"/>
          <w:b/>
          <w:bCs/>
          <w:color w:val="auto"/>
          <w:sz w:val="32"/>
          <w:szCs w:val="32"/>
          <w:highlight w:val="none"/>
        </w:rPr>
        <w:t xml:space="preserve">7.</w:t>
      </w:r>
      <w:bookmarkStart w:id="2" w:name="OLE_LINK14"/>
      <w:r/>
      <w:bookmarkStart w:id="3" w:name="OLE_LINK13"/>
      <w:r>
        <w:rPr>
          <w:rFonts w:hint="eastAsia" w:ascii="仿宋" w:hAnsi="仿宋" w:eastAsia="仿宋" w:cs="仿宋"/>
          <w:b/>
          <w:bCs/>
          <w:color w:val="auto"/>
          <w:spacing w:val="6"/>
          <w:sz w:val="32"/>
          <w:szCs w:val="32"/>
          <w:highlight w:val="none"/>
        </w:rPr>
        <w:t xml:space="preserve"> 残疾人福利性单位声明函</w:t>
      </w:r>
      <w:bookmarkEnd w:id="2"/>
      <w:r/>
      <w:bookmarkEnd w:id="3"/>
      <w:r/>
      <w:r/>
    </w:p>
    <w:p>
      <w:pPr>
        <w:jc w:val="center"/>
        <w:spacing w:line="360" w:lineRule="auto"/>
        <w:rPr>
          <w:rFonts w:hint="eastAsia" w:ascii="仿宋" w:hAnsi="仿宋" w:eastAsia="仿宋" w:cs="仿宋"/>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6"/>
          <w:sz w:val="32"/>
          <w:szCs w:val="32"/>
          <w:highlight w:val="none"/>
        </w:rPr>
        <w:t xml:space="preserve">（如投标人不属于残疾人福利性单位不需要提供此声明函）</w:t>
      </w:r>
      <w:r/>
    </w:p>
    <w:p>
      <w:pPr>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区域养老服务中心医养结合提升项目（一期）医疗、康复等相关运营设备采购</w:t>
      </w:r>
      <w:r/>
    </w:p>
    <w:p>
      <w:pPr>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JSZC-320312-ZHNJ-G2025-0016</w:t>
      </w:r>
      <w:r/>
    </w:p>
    <w:p>
      <w:pPr>
        <w:ind w:firstLine="504"/>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8"/>
          <w:highlight w:val="none"/>
        </w:rPr>
        <w:t xml:space="preserve">〔2017〕 141</w:t>
      </w:r>
      <w:r>
        <w:rPr>
          <w:rFonts w:hint="eastAsia" w:ascii="仿宋" w:hAnsi="仿宋" w:eastAsia="仿宋" w:cs="仿宋"/>
          <w:color w:val="auto"/>
          <w:spacing w:val="6"/>
          <w:sz w:val="28"/>
          <w:szCs w:val="28"/>
          <w:highlight w:val="none"/>
        </w:rPr>
        <w:t xml:space="preserve">号）的规定，本单位为符合条件的残疾人福利性单位，且本单位参加的</w:t>
      </w:r>
      <w:r>
        <w:rPr>
          <w:rFonts w:hint="eastAsia" w:ascii="仿宋" w:hAnsi="仿宋" w:eastAsia="仿宋" w:cs="仿宋"/>
          <w:color w:val="auto"/>
          <w:spacing w:val="6"/>
          <w:sz w:val="28"/>
          <w:szCs w:val="28"/>
          <w:highlight w:val="none"/>
          <w:u w:val="single"/>
          <w:lang w:eastAsia="zh-CN"/>
        </w:rPr>
        <w:t xml:space="preserve">区域养老服务中心医养结合提升项目（一期）医疗、康复等相关运营设备采购</w:t>
      </w:r>
      <w:r>
        <w:rPr>
          <w:rFonts w:hint="eastAsia" w:ascii="仿宋" w:hAnsi="仿宋" w:eastAsia="仿宋" w:cs="仿宋"/>
          <w:color w:val="auto"/>
          <w:spacing w:val="6"/>
          <w:sz w:val="28"/>
          <w:szCs w:val="28"/>
          <w:highlight w:val="none"/>
        </w:rPr>
        <w:t xml:space="preserve">采购活动提供服务，或者提供其他残疾人福利性单位制造的货物（不包括使用非残疾人福利性单位注册商标的货物）。</w:t>
      </w:r>
      <w:r/>
    </w:p>
    <w:p>
      <w:pPr>
        <w:ind w:firstLine="504"/>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本单位对上述声明的真实性负责。如有虚假，将依法承担相应责任。</w:t>
      </w:r>
      <w:r/>
    </w:p>
    <w:p>
      <w:pPr>
        <w:ind w:firstLine="584"/>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ind w:firstLine="584"/>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ind w:right="-58" w:firstLine="504"/>
        <w:jc w:val="center"/>
        <w:spacing w:line="360" w:lineRule="auto"/>
        <w:tabs>
          <w:tab w:val="left" w:pos="486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                  单位名称（电子签章）：</w:t>
      </w:r>
      <w:r/>
    </w:p>
    <w:p>
      <w:pPr>
        <w:ind w:right="1560" w:firstLine="504"/>
        <w:jc w:val="center"/>
        <w:spacing w:line="360" w:lineRule="auto"/>
        <w:tabs>
          <w:tab w:val="left" w:pos="486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      </w:t>
      </w:r>
      <w:r>
        <w:rPr>
          <w:rFonts w:hint="eastAsia" w:ascii="仿宋" w:hAnsi="仿宋" w:eastAsia="仿宋" w:cs="仿宋"/>
          <w:color w:val="auto"/>
          <w:spacing w:val="6"/>
          <w:sz w:val="28"/>
          <w:szCs w:val="28"/>
          <w:highlight w:val="none"/>
          <w:lang w:val="en-US" w:eastAsia="zh-CN"/>
        </w:rPr>
        <w:t xml:space="preserve">         </w:t>
      </w:r>
      <w:r>
        <w:rPr>
          <w:rFonts w:hint="eastAsia" w:ascii="仿宋" w:hAnsi="仿宋" w:eastAsia="仿宋" w:cs="仿宋"/>
          <w:color w:val="auto"/>
          <w:spacing w:val="6"/>
          <w:sz w:val="28"/>
          <w:szCs w:val="28"/>
          <w:highlight w:val="none"/>
        </w:rPr>
        <w:t xml:space="preserve"> 日  期：</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供应商提供的《残疾人福利性单位声明函》与事实不符的，依照《政府采购法》第七十七条第一款的规定追究法律责任。</w:t>
      </w:r>
      <w:r/>
    </w:p>
    <w:p>
      <w:pPr>
        <w:ind w:firstLine="560"/>
        <w:jc w:val="center"/>
        <w:spacing w:line="360" w:lineRule="auto"/>
        <w:rPr>
          <w:rFonts w:hint="eastAsia" w:ascii="仿宋" w:hAnsi="仿宋" w:eastAsia="仿宋" w:cs="仿宋"/>
          <w:b/>
          <w:bCs/>
          <w:color w:val="auto"/>
          <w:sz w:val="32"/>
          <w:szCs w:val="32"/>
          <w:highlight w:val="none"/>
        </w:rPr>
        <w:outlineLvl w:val="0"/>
      </w:pPr>
      <w:r>
        <w:rPr>
          <w:rFonts w:hint="eastAsia" w:ascii="仿宋" w:hAnsi="仿宋" w:eastAsia="仿宋" w:cs="仿宋"/>
          <w:b/>
          <w:bCs/>
          <w:color w:val="auto"/>
          <w:sz w:val="32"/>
          <w:szCs w:val="32"/>
          <w:highlight w:val="none"/>
        </w:rPr>
        <w:t xml:space="preserve">8. 投标人参加政府采购活动前3年内在经营活动中没有重大违法记录的书面声明</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我单位在参加（</w:t>
      </w:r>
      <w:r>
        <w:rPr>
          <w:rFonts w:hint="eastAsia" w:ascii="仿宋" w:hAnsi="仿宋" w:eastAsia="仿宋" w:cs="仿宋"/>
          <w:color w:val="auto"/>
          <w:sz w:val="28"/>
          <w:szCs w:val="28"/>
          <w:highlight w:val="none"/>
          <w:lang w:eastAsia="zh-CN"/>
        </w:rPr>
        <w:t xml:space="preserve">区域养老服务中心医养结合提升项目（一期）医疗、康复等相关运营设备采购</w:t>
      </w:r>
      <w:r>
        <w:rPr>
          <w:rFonts w:hint="eastAsia" w:ascii="仿宋" w:hAnsi="仿宋" w:eastAsia="仿宋" w:cs="仿宋"/>
          <w:color w:val="auto"/>
          <w:sz w:val="28"/>
          <w:szCs w:val="28"/>
          <w:highlight w:val="none"/>
        </w:rPr>
        <w:t xml:space="preserve">）项目（项目编号：</w:t>
      </w:r>
      <w:r>
        <w:rPr>
          <w:rFonts w:hint="eastAsia" w:ascii="仿宋" w:hAnsi="仿宋" w:eastAsia="仿宋" w:cs="仿宋"/>
          <w:color w:val="auto"/>
          <w:sz w:val="28"/>
          <w:szCs w:val="28"/>
          <w:highlight w:val="none"/>
          <w:lang w:eastAsia="zh-CN"/>
        </w:rPr>
        <w:t xml:space="preserve">JSZC-320312-ZHNJ-G2025-0016</w:t>
      </w:r>
      <w:r>
        <w:rPr>
          <w:rFonts w:hint="eastAsia" w:ascii="仿宋" w:hAnsi="仿宋" w:eastAsia="仿宋" w:cs="仿宋"/>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12"/>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我单位对上述声明的真实性负责。如有虚假，将依法承担相应责任。</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投标人：（电子签章）</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ind w:firstLine="560"/>
        <w:jc w:val="center"/>
        <w:spacing w:line="360" w:lineRule="auto"/>
        <w:rPr>
          <w:rFonts w:hint="eastAsia" w:ascii="仿宋" w:hAnsi="仿宋" w:eastAsia="仿宋" w:cs="仿宋"/>
          <w:b/>
          <w:bCs/>
          <w:color w:val="auto"/>
          <w:sz w:val="32"/>
          <w:szCs w:val="32"/>
          <w:highlight w:val="none"/>
        </w:rPr>
        <w:outlineLvl w:val="0"/>
      </w:pPr>
      <w:r>
        <w:rPr>
          <w:rFonts w:hint="eastAsia" w:ascii="仿宋" w:hAnsi="仿宋" w:eastAsia="仿宋" w:cs="仿宋"/>
          <w:b/>
          <w:bCs/>
          <w:color w:val="auto"/>
          <w:sz w:val="32"/>
          <w:szCs w:val="32"/>
          <w:highlight w:val="none"/>
        </w:rPr>
        <w:t xml:space="preserve">9. 具备履行合同所必需的设备和专业技术能力的书面声明</w:t>
      </w:r>
      <w:r/>
    </w:p>
    <w:p>
      <w:pPr>
        <w:ind w:firstLine="560"/>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bCs/>
          <w:color w:val="auto"/>
          <w:sz w:val="32"/>
          <w:szCs w:val="32"/>
          <w:highlight w:val="none"/>
        </w:rPr>
        <w:t xml:space="preserve">（附证明材料</w:t>
      </w:r>
      <w:r>
        <w:rPr>
          <w:rFonts w:hint="eastAsia" w:ascii="仿宋" w:hAnsi="仿宋" w:eastAsia="仿宋" w:cs="仿宋"/>
          <w:color w:val="auto"/>
          <w:sz w:val="32"/>
          <w:szCs w:val="32"/>
          <w:highlight w:val="none"/>
        </w:rPr>
        <w:t xml:space="preserve">原件的扫描件</w:t>
      </w:r>
      <w:r>
        <w:rPr>
          <w:rFonts w:hint="eastAsia" w:ascii="仿宋" w:hAnsi="仿宋" w:eastAsia="仿宋" w:cs="仿宋"/>
          <w:bCs/>
          <w:color w:val="auto"/>
          <w:sz w:val="32"/>
          <w:szCs w:val="32"/>
          <w:highlight w:val="none"/>
        </w:rPr>
        <w:t xml:space="preserve">）</w:t>
      </w:r>
      <w:r/>
    </w:p>
    <w:p>
      <w:pPr>
        <w:ind w:firstLine="480"/>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区域养老服务中心医养结合提升项目（一期）医疗、康复等相关运营设备采购</w:t>
      </w:r>
      <w:r/>
    </w:p>
    <w:p>
      <w:pPr>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JSZC-320312-ZHNJ-G2025-0016</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投标人郑重声明：投标人具备履行合同（项目名称：</w:t>
      </w:r>
      <w:r>
        <w:rPr>
          <w:rFonts w:hint="eastAsia" w:ascii="仿宋" w:hAnsi="仿宋" w:eastAsia="仿宋" w:cs="仿宋"/>
          <w:color w:val="auto"/>
          <w:sz w:val="28"/>
          <w:szCs w:val="28"/>
          <w:highlight w:val="none"/>
          <w:lang w:eastAsia="zh-CN"/>
        </w:rPr>
        <w:t xml:space="preserve">区域养老服务中心医养结合提升项目（一期）医疗、康复等相关运营设备采购</w:t>
      </w: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JSZC-320312-ZHNJ-G2025-0016</w:t>
      </w:r>
      <w:r>
        <w:rPr>
          <w:rFonts w:hint="eastAsia" w:ascii="仿宋" w:hAnsi="仿宋" w:eastAsia="仿宋" w:cs="仿宋"/>
          <w:color w:val="auto"/>
          <w:sz w:val="28"/>
          <w:szCs w:val="28"/>
          <w:highlight w:val="none"/>
        </w:rPr>
        <w:t xml:space="preserve">）所必需的设备和专业技术能力，具体为：</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设备：</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（证明材料原件的扫描件附后）</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（证明材料原件的扫描件附后）</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（证明材料原件的扫描件附后）</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专业技术能力：</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（证明材料原件的扫描件附后）</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（证明材料原件的扫描件附后）</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（证明材料原件的扫描件附后）</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特此声明。</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投标人对上述声明的真实性负责。如有虚假，将依法承担相应责任。</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投标人：（电子签章） </w:t>
      </w:r>
      <w:r/>
    </w:p>
    <w:p>
      <w:pPr>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28"/>
          <w:szCs w:val="28"/>
          <w:highlight w:val="none"/>
        </w:rPr>
        <w:t xml:space="preserve">日期：   年  月  日</w:t>
      </w:r>
      <w:r/>
    </w:p>
    <w:p>
      <w:pPr>
        <w:ind w:firstLine="560"/>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10.投标人相关承诺</w:t>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0"/>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区域养老服务中心医养结合提升项目（一期）医疗、康复等相关运营设备采购</w:t>
      </w:r>
      <w:r/>
    </w:p>
    <w:p>
      <w:pPr>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JSZC-320312-ZHNJ-G2025-0016</w:t>
      </w:r>
      <w:r/>
    </w:p>
    <w:p>
      <w:pPr>
        <w:ind w:firstLine="584"/>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ind w:firstLine="504"/>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我单位承诺：</w:t>
      </w:r>
      <w:r/>
    </w:p>
    <w:p>
      <w:pPr>
        <w:ind w:firstLine="504"/>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ind w:firstLine="504"/>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我单位对上述承诺负责，并依法承担相应责任。</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14"/>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14"/>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投标人：（电子签章） </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70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ind w:firstLine="560"/>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11.投标人书面声明</w:t>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0"/>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 xml:space="preserve">项目名称：</w:t>
      </w:r>
      <w:bookmarkStart w:id="4" w:name="_GoBack"/>
      <w:r>
        <w:rPr>
          <w:rFonts w:hint="eastAsia" w:ascii="仿宋" w:hAnsi="仿宋" w:eastAsia="仿宋" w:cs="仿宋"/>
          <w:color w:val="auto"/>
          <w:sz w:val="28"/>
          <w:szCs w:val="28"/>
          <w:highlight w:val="none"/>
          <w:lang w:eastAsia="zh-CN"/>
        </w:rPr>
        <w:t xml:space="preserve">区域养老服务中心医养结合提升项目（一期）医疗、康复等相关运营设备采购</w:t>
      </w:r>
      <w:bookmarkEnd w:id="4"/>
      <w:r/>
      <w:r/>
    </w:p>
    <w:p>
      <w:pPr>
        <w:ind w:firstLine="48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JSZC-320312-ZHNJ-G2025-0016</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04"/>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我单位不是为本采购项目提供整体设计、规范编制或者项目管理、监理、检测等服务的供应商。</w:t>
      </w:r>
      <w:r/>
    </w:p>
    <w:p>
      <w:pPr>
        <w:ind w:firstLine="504"/>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特此声明。</w:t>
      </w:r>
      <w:r/>
    </w:p>
    <w:p>
      <w:pPr>
        <w:ind w:firstLine="504"/>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我单位对上述声明的真实性负责。如有虚假，将依法承担相应责任。</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14"/>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投标人：（电子签章） </w:t>
      </w:r>
      <w:r/>
    </w:p>
    <w:p>
      <w:pPr>
        <w:pStyle w:val="794"/>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pStyle w:val="794"/>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803"/>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781"/>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781"/>
        <w:rPr>
          <w:rFonts w:hint="eastAsia"/>
        </w:rPr>
      </w:pPr>
      <w:r>
        <w:rPr>
          <w:rFonts w:hint="eastAsia"/>
        </w:rPr>
      </w:r>
      <w:r/>
    </w:p>
    <w:p>
      <w:pPr>
        <w:pStyle w:val="789"/>
        <w:ind w:firstLine="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811"/>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789"/>
        <w:ind w:firstLine="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977"/>
        <w:ind w:firstLine="482"/>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12.预付款保函支付条款模板</w:t>
      </w:r>
      <w:r/>
    </w:p>
    <w:p>
      <w:pPr>
        <w:pStyle w:val="977"/>
        <w:ind w:firstLine="482"/>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符合条件一：提交预付款保函的</w:t>
      </w:r>
      <w:r/>
    </w:p>
    <w:p>
      <w:pPr>
        <w:pStyle w:val="977"/>
        <w:ind w:firstLine="480"/>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（1）合同签订且乙方向甲方出具预付款保函后个工作日内，甲方应支付合同价款的百分之</w:t>
      </w:r>
      <w:r>
        <w:rPr>
          <w:rFonts w:hint="eastAsia" w:ascii="仿宋" w:hAnsi="仿宋" w:eastAsia="仿宋" w:cs="仿宋"/>
          <w:color w:val="auto"/>
          <w:sz w:val="28"/>
          <w:szCs w:val="28"/>
          <w:highlight w:val="none"/>
          <w:u w:val="single"/>
        </w:rPr>
        <w:t xml:space="preserve">        XX（    XX%），</w:t>
      </w:r>
      <w:r>
        <w:rPr>
          <w:rFonts w:hint="eastAsia" w:ascii="仿宋" w:hAnsi="仿宋" w:eastAsia="仿宋" w:cs="仿宋"/>
          <w:color w:val="auto"/>
          <w:sz w:val="28"/>
          <w:szCs w:val="28"/>
          <w:highlight w:val="none"/>
        </w:rPr>
        <w:t xml:space="preserve">小写￥大写：人民币。</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乙方需提交的支付文件：乙方出具的全额正式发票。</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（2）验收合格后个工作日内，甲方应支付合同价款的百分之</w:t>
      </w:r>
      <w:r>
        <w:rPr>
          <w:rFonts w:hint="eastAsia" w:ascii="仿宋" w:hAnsi="仿宋" w:eastAsia="仿宋" w:cs="仿宋"/>
          <w:color w:val="auto"/>
          <w:sz w:val="28"/>
          <w:szCs w:val="28"/>
          <w:highlight w:val="none"/>
          <w:u w:val="single"/>
        </w:rPr>
        <w:t xml:space="preserve">XX（    XX%），</w:t>
      </w:r>
      <w:r>
        <w:rPr>
          <w:rFonts w:hint="eastAsia" w:ascii="仿宋" w:hAnsi="仿宋" w:eastAsia="仿宋" w:cs="仿宋"/>
          <w:color w:val="auto"/>
          <w:sz w:val="28"/>
          <w:szCs w:val="28"/>
          <w:highlight w:val="none"/>
        </w:rPr>
        <w:t xml:space="preserve">小写￥大写：人民币。</w:t>
      </w:r>
      <w:r/>
    </w:p>
    <w:p>
      <w:pPr>
        <w:pStyle w:val="977"/>
        <w:ind w:firstLine="482"/>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w:t>
      </w:r>
      <w:r/>
    </w:p>
    <w:p>
      <w:pPr>
        <w:pStyle w:val="977"/>
        <w:ind w:firstLine="482"/>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符合条件二：不提交预付款保函的</w:t>
      </w:r>
      <w:r/>
    </w:p>
    <w:p>
      <w:pPr>
        <w:pStyle w:val="977"/>
        <w:ind w:firstLine="480"/>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（1）合同签订后  个工作日内，甲方应支付合同价款的百分之</w:t>
      </w:r>
      <w:r>
        <w:rPr>
          <w:rFonts w:hint="eastAsia" w:ascii="仿宋" w:hAnsi="仿宋" w:eastAsia="仿宋" w:cs="仿宋"/>
          <w:color w:val="auto"/>
          <w:sz w:val="28"/>
          <w:szCs w:val="28"/>
          <w:highlight w:val="none"/>
          <w:u w:val="single"/>
        </w:rPr>
        <w:t xml:space="preserve">XX（    XX%），</w:t>
      </w:r>
      <w:r>
        <w:rPr>
          <w:rFonts w:hint="eastAsia" w:ascii="仿宋" w:hAnsi="仿宋" w:eastAsia="仿宋" w:cs="仿宋"/>
          <w:color w:val="auto"/>
          <w:sz w:val="28"/>
          <w:szCs w:val="28"/>
          <w:highlight w:val="none"/>
        </w:rPr>
        <w:t xml:space="preserve">小写￥大写：人民币。</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乙方需提交的支付文件：乙方出具的全额正式发票。</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（2）验收合格后个工作日内，甲方应支付合同价款的百分之</w:t>
      </w:r>
      <w:r>
        <w:rPr>
          <w:rFonts w:hint="eastAsia" w:ascii="仿宋" w:hAnsi="仿宋" w:eastAsia="仿宋" w:cs="仿宋"/>
          <w:color w:val="auto"/>
          <w:sz w:val="28"/>
          <w:szCs w:val="28"/>
          <w:highlight w:val="none"/>
          <w:u w:val="single"/>
        </w:rPr>
        <w:t xml:space="preserve">XX（    XX%），</w:t>
      </w:r>
      <w:r>
        <w:rPr>
          <w:rFonts w:hint="eastAsia" w:ascii="仿宋" w:hAnsi="仿宋" w:eastAsia="仿宋" w:cs="仿宋"/>
          <w:color w:val="auto"/>
          <w:sz w:val="28"/>
          <w:szCs w:val="28"/>
          <w:highlight w:val="none"/>
        </w:rPr>
        <w:t xml:space="preserve">小写￥大写：人民币。</w:t>
      </w:r>
      <w:r/>
    </w:p>
    <w:p>
      <w:pPr>
        <w:pStyle w:val="977"/>
        <w:ind w:firstLine="482"/>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w:t>
      </w:r>
      <w:r/>
    </w:p>
    <w:p>
      <w:pPr>
        <w:pStyle w:val="977"/>
        <w:ind w:firstLine="482"/>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w:t>
      </w:r>
      <w:r/>
    </w:p>
    <w:p>
      <w:pPr>
        <w:pStyle w:val="977"/>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1、付款条件一中，出具预付款保函后支付的合同款应当与保函金额一致。</w:t>
      </w:r>
      <w:r/>
    </w:p>
    <w:p>
      <w:pPr>
        <w:pStyle w:val="987"/>
        <w:ind w:left="0" w:firstLine="480"/>
        <w:spacing w:after="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隶书">
    <w:panose1 w:val="02010509060101010101"/>
  </w:font>
  <w:font w:name="Wingdings">
    <w:panose1 w:val="05000000000000000000"/>
  </w:font>
  <w:font w:name="Courier New">
    <w:panose1 w:val="02070309020205020404"/>
  </w:font>
  <w:font w:name="楷体_GB2312">
    <w:panose1 w:val="02010609060101010101"/>
  </w:font>
  <w:font w:name="Cambria">
    <w:panose1 w:val="02040503050406030204"/>
  </w:font>
  <w:font w:name="华文细黑">
    <w:panose1 w:val="02010600040101010101"/>
  </w:font>
  <w:font w:name="PMingLiU">
    <w:panose1 w:val="02020500000000000000"/>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新宋体">
    <w:panose1 w:val="02010609030101010101"/>
  </w:font>
  <w:font w:name="Symbol">
    <w:panose1 w:val="05050102010706020507"/>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right"/>
      <w:rPr>
        <w:sz w:val="21"/>
        <w:szCs w:val="21"/>
      </w:rPr>
      <w:pBdr>
        <w:bottom w:val="single" w:color="auto" w:sz="4" w:space="0"/>
      </w:pBdr>
    </w:pPr>
    <w:r>
      <w:rPr>
        <w:rFonts w:hint="eastAsia" w:ascii="仿宋" w:hAnsi="仿宋" w:eastAsia="仿宋" w:cs="仿宋"/>
        <w:sz w:val="21"/>
        <w:szCs w:val="21"/>
        <w:lang w:eastAsia="zh-CN"/>
      </w:rPr>
      <w:t xml:space="preserve">区域养老服务中心医养结合提升项目（一期）医疗、康复等相关运营设备采购</w:t>
    </w:r>
    <w:r>
      <w:rPr>
        <w:rFonts w:hint="eastAsia" w:ascii="仿宋" w:hAnsi="仿宋" w:eastAsia="仿宋" w:cs="仿宋"/>
        <w:sz w:val="21"/>
        <w:szCs w:val="21"/>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right"/>
      <w:rPr>
        <w:sz w:val="21"/>
        <w:szCs w:val="21"/>
      </w:rPr>
      <w:pBdr>
        <w:bottom w:val="single" w:color="auto" w:sz="4" w:space="0"/>
      </w:pBdr>
    </w:pPr>
    <w:r>
      <w:rPr>
        <w:rFonts w:hint="eastAsia" w:ascii="仿宋" w:hAnsi="仿宋" w:eastAsia="仿宋" w:cs="仿宋"/>
        <w:sz w:val="21"/>
        <w:szCs w:val="21"/>
        <w:lang w:eastAsia="zh-CN"/>
      </w:rPr>
      <w:t xml:space="preserve">区域养老服务中心医养结合提升项目（一期）医疗、康复等相关运营设备采购</w:t>
    </w:r>
    <w:r>
      <w:rPr>
        <w:rFonts w:hint="eastAsia" w:ascii="仿宋" w:hAnsi="仿宋" w:eastAsia="仿宋" w:cs="仿宋"/>
        <w:sz w:val="21"/>
        <w:szCs w:val="21"/>
      </w:rPr>
      <w:t xml:space="preserve">招标文件</w:t>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right"/>
      <w:rPr>
        <w:sz w:val="21"/>
        <w:szCs w:val="21"/>
      </w:rPr>
      <w:pBdr>
        <w:bottom w:val="single" w:color="auto" w:sz="4" w:space="0"/>
      </w:pBdr>
    </w:pPr>
    <w:r>
      <w:rPr>
        <w:rFonts w:hint="eastAsia" w:ascii="仿宋" w:hAnsi="仿宋" w:eastAsia="仿宋" w:cs="仿宋"/>
        <w:sz w:val="21"/>
        <w:szCs w:val="21"/>
        <w:lang w:eastAsia="zh-CN"/>
      </w:rPr>
      <w:t xml:space="preserve">区域养老服务中心医养结合提升项目（一期）医疗、康复等相关运营设备采购</w:t>
    </w:r>
    <w:r>
      <w:rPr>
        <w:rFonts w:hint="eastAsia" w:ascii="仿宋" w:hAnsi="仿宋" w:eastAsia="仿宋" w:cs="仿宋"/>
        <w:sz w:val="21"/>
        <w:szCs w:val="21"/>
      </w:rPr>
      <w:t xml:space="preserve">招标文件</w:t>
    </w:r>
    <w:r/>
  </w:p>
  <w:p>
    <w:pPr>
      <w:jc w:val="center"/>
      <w:rPr>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next w:val="7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name w:val="Heading 1"/>
    <w:basedOn w:val="769"/>
    <w:next w:val="769"/>
    <w:link w:val="819"/>
    <w:uiPriority w:val="0"/>
    <w:qFormat/>
    <w:pPr>
      <w:jc w:val="center"/>
      <w:keepLines/>
      <w:keepNext/>
      <w:spacing w:line="576" w:lineRule="auto"/>
      <w:outlineLvl w:val="0"/>
    </w:pPr>
    <w:rPr>
      <w:rFonts w:eastAsia="新宋体"/>
      <w:b/>
      <w:bCs/>
      <w:sz w:val="30"/>
      <w:szCs w:val="44"/>
    </w:rPr>
  </w:style>
  <w:style w:type="paragraph" w:styleId="771">
    <w:name w:val="Heading 2"/>
    <w:basedOn w:val="769"/>
    <w:next w:val="769"/>
    <w:link w:val="824"/>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link w:val="825"/>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link w:val="826"/>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27"/>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828"/>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30"/>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31"/>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customStyle="1">
    <w:name w:val="目录 11"/>
    <w:basedOn w:val="782"/>
    <w:next w:val="769"/>
    <w:uiPriority w:val="0"/>
    <w:qFormat/>
    <w:pPr>
      <w:jc w:val="left"/>
      <w:spacing w:after="100" w:line="259" w:lineRule="auto"/>
      <w:widowControl/>
    </w:pPr>
    <w:rPr>
      <w:rFonts w:ascii="Calibri" w:hAnsi="Calibri"/>
      <w:sz w:val="22"/>
      <w:szCs w:val="22"/>
    </w:rPr>
  </w:style>
  <w:style w:type="paragraph" w:styleId="782" w:customStyle="1">
    <w:name w:val="正文11"/>
    <w:next w:val="7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name w:val="toc 7"/>
    <w:basedOn w:val="769"/>
    <w:next w:val="769"/>
    <w:uiPriority w:val="39"/>
    <w:unhideWhenUsed/>
    <w:qFormat/>
    <w:pPr>
      <w:ind w:left="1701" w:right="0" w:firstLine="0"/>
      <w:spacing w:after="57"/>
    </w:pPr>
  </w:style>
  <w:style w:type="paragraph" w:styleId="784">
    <w:name w:val="Normal Indent"/>
    <w:basedOn w:val="769"/>
    <w:uiPriority w:val="0"/>
    <w:qFormat/>
    <w:pPr>
      <w:ind w:firstLine="420"/>
    </w:pPr>
  </w:style>
  <w:style w:type="paragraph" w:styleId="785">
    <w:name w:val="Caption"/>
    <w:basedOn w:val="769"/>
    <w:next w:val="76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6">
    <w:name w:val="index 5"/>
    <w:basedOn w:val="769"/>
    <w:next w:val="769"/>
    <w:uiPriority w:val="0"/>
    <w:qFormat/>
    <w:pPr>
      <w:ind w:left="798"/>
    </w:pPr>
    <w:rPr>
      <w:rFonts w:ascii="Calibri" w:hAnsi="Calibri"/>
    </w:rPr>
  </w:style>
  <w:style w:type="paragraph" w:styleId="787">
    <w:name w:val="Document Map"/>
    <w:basedOn w:val="769"/>
    <w:uiPriority w:val="0"/>
    <w:qFormat/>
    <w:rPr>
      <w:rFonts w:ascii="宋体" w:hAnsi="Calibri"/>
      <w:sz w:val="18"/>
      <w:szCs w:val="18"/>
    </w:rPr>
  </w:style>
  <w:style w:type="paragraph" w:styleId="788">
    <w:name w:val="annotation text"/>
    <w:basedOn w:val="769"/>
    <w:uiPriority w:val="0"/>
    <w:qFormat/>
    <w:pPr>
      <w:jc w:val="left"/>
    </w:pPr>
  </w:style>
  <w:style w:type="paragraph" w:styleId="789">
    <w:name w:val="Body Text"/>
    <w:basedOn w:val="769"/>
    <w:next w:val="790"/>
    <w:uiPriority w:val="0"/>
    <w:qFormat/>
    <w:pPr>
      <w:spacing w:after="120"/>
    </w:pPr>
  </w:style>
  <w:style w:type="paragraph" w:styleId="790" w:customStyle="1">
    <w:name w:val="一级条标题"/>
    <w:basedOn w:val="791"/>
    <w:next w:val="792"/>
    <w:uiPriority w:val="0"/>
    <w:qFormat/>
    <w:pPr>
      <w:ind w:left="907" w:hanging="907"/>
      <w:jc w:val="center"/>
      <w:spacing w:line="1292" w:lineRule="atLeast"/>
      <w:tabs>
        <w:tab w:val="left" w:pos="810" w:leader="none"/>
        <w:tab w:val="left" w:pos="907" w:leader="none"/>
        <w:tab w:val="left" w:pos="1265" w:leader="none"/>
      </w:tabs>
      <w:outlineLvl w:val="2"/>
    </w:pPr>
    <w:rPr>
      <w:rFonts w:ascii="Arial" w:hAnsi="宋体" w:eastAsia="黑体"/>
      <w:lang w:eastAsia="en-US" w:bidi="en-US"/>
    </w:rPr>
  </w:style>
  <w:style w:type="paragraph" w:styleId="791" w:customStyle="1">
    <w:name w:val="章标题"/>
    <w:next w:val="76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92" w:customStyle="1">
    <w:name w:val="段"/>
    <w:basedOn w:val="769"/>
    <w:next w:val="769"/>
    <w:uiPriority w:val="0"/>
    <w:qFormat/>
    <w:pPr>
      <w:ind w:firstLine="200"/>
      <w:widowControl/>
    </w:pPr>
    <w:rPr>
      <w:rFonts w:hint="eastAsia" w:ascii="宋体"/>
      <w:szCs w:val="20"/>
    </w:rPr>
  </w:style>
  <w:style w:type="paragraph" w:styleId="793">
    <w:name w:val="Body Text Indent"/>
    <w:basedOn w:val="769"/>
    <w:uiPriority w:val="0"/>
    <w:qFormat/>
    <w:pPr>
      <w:ind w:left="420"/>
      <w:spacing w:after="120"/>
    </w:pPr>
  </w:style>
  <w:style w:type="paragraph" w:styleId="794">
    <w:name w:val="Block Text"/>
    <w:basedOn w:val="769"/>
    <w:uiPriority w:val="6"/>
    <w:qFormat/>
    <w:pPr>
      <w:ind w:left="256" w:right="6" w:firstLine="624"/>
    </w:pPr>
    <w:rPr>
      <w:rFonts w:eastAsia="仿宋"/>
      <w:sz w:val="28"/>
      <w:szCs w:val="20"/>
    </w:rPr>
  </w:style>
  <w:style w:type="paragraph" w:styleId="795">
    <w:name w:val="index 4"/>
    <w:basedOn w:val="769"/>
    <w:next w:val="769"/>
    <w:uiPriority w:val="99"/>
    <w:qFormat/>
    <w:pPr>
      <w:ind w:left="600"/>
    </w:pPr>
  </w:style>
  <w:style w:type="paragraph" w:styleId="796">
    <w:name w:val="toc 5"/>
    <w:basedOn w:val="769"/>
    <w:next w:val="769"/>
    <w:uiPriority w:val="39"/>
    <w:unhideWhenUsed/>
    <w:qFormat/>
    <w:pPr>
      <w:ind w:left="1134" w:right="0" w:firstLine="0"/>
      <w:spacing w:after="57"/>
    </w:pPr>
  </w:style>
  <w:style w:type="paragraph" w:styleId="797">
    <w:name w:val="toc 3"/>
    <w:basedOn w:val="769"/>
    <w:next w:val="769"/>
    <w:uiPriority w:val="39"/>
    <w:unhideWhenUsed/>
    <w:qFormat/>
    <w:pPr>
      <w:ind w:left="567" w:right="0" w:firstLine="0"/>
      <w:spacing w:after="57"/>
    </w:pPr>
  </w:style>
  <w:style w:type="paragraph" w:styleId="798">
    <w:name w:val="toc 8"/>
    <w:basedOn w:val="769"/>
    <w:next w:val="769"/>
    <w:uiPriority w:val="39"/>
    <w:unhideWhenUsed/>
    <w:qFormat/>
    <w:pPr>
      <w:ind w:left="1984" w:right="0" w:firstLine="0"/>
      <w:spacing w:after="57"/>
    </w:pPr>
  </w:style>
  <w:style w:type="paragraph" w:styleId="799">
    <w:name w:val="endnote text"/>
    <w:basedOn w:val="769"/>
    <w:link w:val="968"/>
    <w:uiPriority w:val="99"/>
    <w:semiHidden/>
    <w:unhideWhenUsed/>
    <w:qFormat/>
    <w:pPr>
      <w:spacing w:after="0" w:line="240" w:lineRule="auto"/>
    </w:pPr>
    <w:rPr>
      <w:sz w:val="20"/>
    </w:rPr>
  </w:style>
  <w:style w:type="paragraph" w:styleId="800">
    <w:name w:val="Balloon Text"/>
    <w:basedOn w:val="769"/>
    <w:link w:val="994"/>
    <w:uiPriority w:val="0"/>
    <w:qFormat/>
    <w:rPr>
      <w:sz w:val="18"/>
      <w:szCs w:val="18"/>
    </w:rPr>
  </w:style>
  <w:style w:type="paragraph" w:styleId="801">
    <w:name w:val="Footer"/>
    <w:basedOn w:val="769"/>
    <w:uiPriority w:val="0"/>
    <w:unhideWhenUsed/>
    <w:qFormat/>
    <w:pPr>
      <w:tabs>
        <w:tab w:val="center" w:pos="7143" w:leader="none"/>
        <w:tab w:val="right" w:pos="14287" w:leader="none"/>
      </w:tabs>
    </w:pPr>
  </w:style>
  <w:style w:type="paragraph" w:styleId="802">
    <w:name w:val="Header"/>
    <w:basedOn w:val="769"/>
    <w:link w:val="1001"/>
    <w:uiPriority w:val="0"/>
    <w:qFormat/>
    <w:pPr>
      <w:jc w:val="center"/>
      <w:tabs>
        <w:tab w:val="center" w:pos="4153" w:leader="none"/>
        <w:tab w:val="right" w:pos="8306" w:leader="none"/>
      </w:tabs>
      <w:pBdr>
        <w:bottom w:val="single" w:color="auto" w:sz="6" w:space="1"/>
      </w:pBdr>
    </w:pPr>
    <w:rPr>
      <w:sz w:val="18"/>
      <w:szCs w:val="18"/>
    </w:rPr>
  </w:style>
  <w:style w:type="paragraph" w:styleId="803">
    <w:name w:val="toc 1"/>
    <w:basedOn w:val="769"/>
    <w:next w:val="769"/>
    <w:uiPriority w:val="39"/>
    <w:unhideWhenUsed/>
    <w:qFormat/>
    <w:pPr>
      <w:jc w:val="left"/>
      <w:spacing w:after="100" w:line="259" w:lineRule="auto"/>
      <w:widowControl/>
    </w:pPr>
    <w:rPr>
      <w:rFonts w:ascii="Calibri" w:hAnsi="Calibri"/>
      <w:sz w:val="22"/>
      <w:szCs w:val="22"/>
    </w:rPr>
  </w:style>
  <w:style w:type="paragraph" w:styleId="804">
    <w:name w:val="toc 4"/>
    <w:basedOn w:val="769"/>
    <w:next w:val="769"/>
    <w:uiPriority w:val="39"/>
    <w:unhideWhenUsed/>
    <w:qFormat/>
    <w:pPr>
      <w:ind w:left="850" w:right="0" w:firstLine="0"/>
      <w:spacing w:after="57"/>
    </w:pPr>
  </w:style>
  <w:style w:type="paragraph" w:styleId="805">
    <w:name w:val="Subtitle"/>
    <w:basedOn w:val="769"/>
    <w:next w:val="769"/>
    <w:link w:val="834"/>
    <w:uiPriority w:val="11"/>
    <w:qFormat/>
    <w:pPr>
      <w:spacing w:before="200" w:after="200"/>
    </w:pPr>
    <w:rPr>
      <w:sz w:val="24"/>
      <w:szCs w:val="24"/>
    </w:rPr>
  </w:style>
  <w:style w:type="paragraph" w:styleId="806">
    <w:name w:val="footnote text"/>
    <w:basedOn w:val="769"/>
    <w:next w:val="786"/>
    <w:uiPriority w:val="99"/>
    <w:semiHidden/>
    <w:unhideWhenUsed/>
    <w:qFormat/>
    <w:pPr>
      <w:spacing w:after="40"/>
    </w:pPr>
    <w:rPr>
      <w:sz w:val="18"/>
    </w:rPr>
  </w:style>
  <w:style w:type="paragraph" w:styleId="807">
    <w:name w:val="toc 6"/>
    <w:basedOn w:val="769"/>
    <w:next w:val="769"/>
    <w:uiPriority w:val="39"/>
    <w:unhideWhenUsed/>
    <w:qFormat/>
    <w:pPr>
      <w:ind w:left="1417" w:right="0" w:firstLine="0"/>
      <w:spacing w:after="57"/>
    </w:pPr>
  </w:style>
  <w:style w:type="paragraph" w:styleId="808">
    <w:name w:val="table of figures"/>
    <w:basedOn w:val="769"/>
    <w:next w:val="769"/>
    <w:uiPriority w:val="99"/>
    <w:unhideWhenUsed/>
    <w:qFormat/>
    <w:pPr>
      <w:spacing w:after="0" w:afterAutospacing="0"/>
    </w:pPr>
  </w:style>
  <w:style w:type="paragraph" w:styleId="809">
    <w:name w:val="toc 2"/>
    <w:basedOn w:val="769"/>
    <w:next w:val="769"/>
    <w:uiPriority w:val="39"/>
    <w:unhideWhenUsed/>
    <w:qFormat/>
    <w:pPr>
      <w:ind w:left="283" w:right="0" w:firstLine="0"/>
      <w:spacing w:after="57"/>
    </w:pPr>
  </w:style>
  <w:style w:type="paragraph" w:styleId="810">
    <w:name w:val="toc 9"/>
    <w:basedOn w:val="769"/>
    <w:next w:val="769"/>
    <w:uiPriority w:val="39"/>
    <w:unhideWhenUsed/>
    <w:qFormat/>
    <w:pPr>
      <w:ind w:left="2268" w:right="0" w:firstLine="0"/>
      <w:spacing w:after="57"/>
    </w:pPr>
  </w:style>
  <w:style w:type="paragraph" w:styleId="811">
    <w:name w:val="Body Text 2"/>
    <w:basedOn w:val="769"/>
    <w:next w:val="789"/>
    <w:uiPriority w:val="0"/>
    <w:qFormat/>
    <w:pPr>
      <w:ind w:right="340"/>
      <w:spacing w:line="240" w:lineRule="atLeast"/>
      <w:tabs>
        <w:tab w:val="left" w:pos="705" w:leader="none"/>
        <w:tab w:val="left" w:pos="8280" w:leader="none"/>
      </w:tabs>
    </w:pPr>
    <w:rPr>
      <w:rFonts w:ascii="宋体"/>
      <w:sz w:val="28"/>
    </w:rPr>
  </w:style>
  <w:style w:type="paragraph" w:styleId="812">
    <w:name w:val="Normal (Web)"/>
    <w:basedOn w:val="769"/>
    <w:uiPriority w:val="0"/>
    <w:qFormat/>
    <w:pPr>
      <w:jc w:val="left"/>
      <w:spacing w:before="100" w:beforeAutospacing="1" w:after="100" w:afterAutospacing="1"/>
      <w:widowControl/>
    </w:pPr>
    <w:rPr>
      <w:rFonts w:ascii="宋体" w:hAnsi="宋体" w:cs="宋体"/>
      <w:sz w:val="24"/>
    </w:rPr>
  </w:style>
  <w:style w:type="paragraph" w:styleId="813">
    <w:name w:val="Title"/>
    <w:basedOn w:val="769"/>
    <w:next w:val="769"/>
    <w:link w:val="833"/>
    <w:uiPriority w:val="10"/>
    <w:qFormat/>
    <w:pPr>
      <w:contextualSpacing/>
      <w:spacing w:before="300" w:after="200"/>
    </w:pPr>
    <w:rPr>
      <w:sz w:val="48"/>
      <w:szCs w:val="48"/>
    </w:rPr>
  </w:style>
  <w:style w:type="paragraph" w:styleId="814">
    <w:name w:val="Body Text First Indent 2"/>
    <w:basedOn w:val="793"/>
    <w:uiPriority w:val="0"/>
    <w:qFormat/>
    <w:pPr>
      <w:ind w:firstLine="420"/>
    </w:pPr>
  </w:style>
  <w:style w:type="table" w:styleId="815">
    <w:name w:val="Table Grid"/>
    <w:basedOn w:val="7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endnote reference"/>
    <w:basedOn w:val="779"/>
    <w:uiPriority w:val="99"/>
    <w:semiHidden/>
    <w:unhideWhenUsed/>
    <w:qFormat/>
    <w:rPr>
      <w:vertAlign w:val="superscript"/>
    </w:rPr>
  </w:style>
  <w:style w:type="character" w:styleId="817">
    <w:name w:val="Hyperlink"/>
    <w:uiPriority w:val="99"/>
    <w:unhideWhenUsed/>
    <w:qFormat/>
    <w:rPr>
      <w:color w:val="0026e5" w:themeColor="hyperlink"/>
      <w:u w:val="single"/>
      <w14:textFill>
        <w14:solidFill>
          <w14:schemeClr w14:val="hlink"/>
        </w14:solidFill>
      </w14:textFill>
    </w:rPr>
  </w:style>
  <w:style w:type="character" w:styleId="818">
    <w:name w:val="footnote reference"/>
    <w:basedOn w:val="779"/>
    <w:uiPriority w:val="99"/>
    <w:unhideWhenUsed/>
    <w:qFormat/>
    <w:rPr>
      <w:vertAlign w:val="superscript"/>
    </w:rPr>
  </w:style>
  <w:style w:type="character" w:styleId="819" w:customStyle="1">
    <w:name w:val="标题 1 Char"/>
    <w:basedOn w:val="779"/>
    <w:link w:val="770"/>
    <w:uiPriority w:val="0"/>
    <w:qFormat/>
    <w:rPr>
      <w:rFonts w:eastAsia="新宋体"/>
      <w:b/>
      <w:bCs/>
      <w:sz w:val="30"/>
      <w:szCs w:val="44"/>
    </w:rPr>
  </w:style>
  <w:style w:type="paragraph" w:styleId="820" w:customStyle="1">
    <w:name w:val="BodyText1I2"/>
    <w:basedOn w:val="821"/>
    <w:uiPriority w:val="0"/>
    <w:qFormat/>
    <w:pPr>
      <w:ind w:firstLine="420"/>
      <w:spacing w:line="360" w:lineRule="auto"/>
      <w:widowControl/>
    </w:pPr>
    <w:rPr>
      <w:rFonts w:ascii="宋体" w:hAnsi="宋体" w:cs="Times New Roman"/>
      <w:sz w:val="20"/>
      <w:szCs w:val="20"/>
    </w:rPr>
  </w:style>
  <w:style w:type="paragraph" w:styleId="821" w:customStyle="1">
    <w:name w:val="BodyTextIndent"/>
    <w:basedOn w:val="769"/>
    <w:next w:val="822"/>
    <w:uiPriority w:val="0"/>
    <w:qFormat/>
    <w:pPr>
      <w:ind w:left="420"/>
      <w:spacing w:after="120"/>
    </w:pPr>
  </w:style>
  <w:style w:type="paragraph" w:styleId="822" w:customStyle="1">
    <w:name w:val="EnvelopeReturn"/>
    <w:basedOn w:val="769"/>
    <w:uiPriority w:val="0"/>
    <w:qFormat/>
    <w:rPr>
      <w:rFonts w:ascii="Arial" w:hAnsi="Arial"/>
    </w:rPr>
  </w:style>
  <w:style w:type="character" w:styleId="823" w:customStyle="1">
    <w:name w:val="Heading 1 Char"/>
    <w:basedOn w:val="779"/>
    <w:uiPriority w:val="9"/>
    <w:qFormat/>
    <w:rPr>
      <w:rFonts w:ascii="Arial" w:hAnsi="Arial" w:eastAsia="Arial" w:cs="Arial"/>
      <w:sz w:val="40"/>
      <w:szCs w:val="40"/>
    </w:rPr>
  </w:style>
  <w:style w:type="character" w:styleId="824" w:customStyle="1">
    <w:name w:val="Heading 2 Char"/>
    <w:basedOn w:val="779"/>
    <w:link w:val="771"/>
    <w:uiPriority w:val="9"/>
    <w:qFormat/>
    <w:rPr>
      <w:rFonts w:ascii="Arial" w:hAnsi="Arial" w:eastAsia="Arial" w:cs="Arial"/>
      <w:sz w:val="34"/>
    </w:rPr>
  </w:style>
  <w:style w:type="character" w:styleId="825" w:customStyle="1">
    <w:name w:val="Heading 3 Char"/>
    <w:basedOn w:val="779"/>
    <w:link w:val="772"/>
    <w:uiPriority w:val="9"/>
    <w:qFormat/>
    <w:rPr>
      <w:rFonts w:ascii="Arial" w:hAnsi="Arial" w:eastAsia="Arial" w:cs="Arial"/>
      <w:sz w:val="30"/>
      <w:szCs w:val="30"/>
    </w:rPr>
  </w:style>
  <w:style w:type="character" w:styleId="826" w:customStyle="1">
    <w:name w:val="Heading 4 Char"/>
    <w:basedOn w:val="779"/>
    <w:link w:val="773"/>
    <w:uiPriority w:val="9"/>
    <w:qFormat/>
    <w:rPr>
      <w:rFonts w:ascii="Arial" w:hAnsi="Arial" w:eastAsia="Arial" w:cs="Arial"/>
      <w:b/>
      <w:bCs/>
      <w:sz w:val="26"/>
      <w:szCs w:val="26"/>
    </w:rPr>
  </w:style>
  <w:style w:type="character" w:styleId="827" w:customStyle="1">
    <w:name w:val="Heading 5 Char"/>
    <w:basedOn w:val="779"/>
    <w:link w:val="774"/>
    <w:uiPriority w:val="9"/>
    <w:qFormat/>
    <w:rPr>
      <w:rFonts w:ascii="Arial" w:hAnsi="Arial" w:eastAsia="Arial" w:cs="Arial"/>
      <w:b/>
      <w:bCs/>
      <w:sz w:val="24"/>
      <w:szCs w:val="24"/>
    </w:rPr>
  </w:style>
  <w:style w:type="character" w:styleId="828" w:customStyle="1">
    <w:name w:val="Heading 6 Char"/>
    <w:basedOn w:val="779"/>
    <w:link w:val="775"/>
    <w:uiPriority w:val="9"/>
    <w:qFormat/>
    <w:rPr>
      <w:rFonts w:ascii="Arial" w:hAnsi="Arial" w:eastAsia="Arial" w:cs="Arial"/>
      <w:b/>
      <w:bCs/>
      <w:sz w:val="22"/>
      <w:szCs w:val="22"/>
    </w:rPr>
  </w:style>
  <w:style w:type="character" w:styleId="829" w:customStyle="1">
    <w:name w:val="Heading 7 Char"/>
    <w:basedOn w:val="779"/>
    <w:link w:val="776"/>
    <w:uiPriority w:val="9"/>
    <w:qFormat/>
    <w:rPr>
      <w:rFonts w:ascii="Arial" w:hAnsi="Arial" w:eastAsia="Arial" w:cs="Arial"/>
      <w:b/>
      <w:bCs/>
      <w:i/>
      <w:iCs/>
      <w:sz w:val="22"/>
      <w:szCs w:val="22"/>
    </w:rPr>
  </w:style>
  <w:style w:type="character" w:styleId="830" w:customStyle="1">
    <w:name w:val="Heading 8 Char"/>
    <w:basedOn w:val="779"/>
    <w:link w:val="777"/>
    <w:uiPriority w:val="9"/>
    <w:qFormat/>
    <w:rPr>
      <w:rFonts w:ascii="Arial" w:hAnsi="Arial" w:eastAsia="Arial" w:cs="Arial"/>
      <w:i/>
      <w:iCs/>
      <w:sz w:val="22"/>
      <w:szCs w:val="22"/>
    </w:rPr>
  </w:style>
  <w:style w:type="character" w:styleId="831" w:customStyle="1">
    <w:name w:val="Heading 9 Char"/>
    <w:basedOn w:val="779"/>
    <w:link w:val="778"/>
    <w:uiPriority w:val="9"/>
    <w:qFormat/>
    <w:rPr>
      <w:rFonts w:ascii="Arial" w:hAnsi="Arial" w:eastAsia="Arial" w:cs="Arial"/>
      <w:i/>
      <w:iCs/>
      <w:sz w:val="21"/>
      <w:szCs w:val="21"/>
    </w:rPr>
  </w:style>
  <w:style w:type="paragraph" w:styleId="832">
    <w:name w:val="No Spacing"/>
    <w:uiPriority w:val="1"/>
    <w:qFormat/>
    <w:pPr>
      <w:spacing w:before="0" w:after="0" w:line="240" w:lineRule="auto"/>
    </w:pPr>
    <w:rPr>
      <w:rFonts w:hint="default" w:ascii="Times New Roman" w:hAnsi="Times New Roman" w:eastAsia="宋体" w:cs="Times New Roman"/>
    </w:rPr>
  </w:style>
  <w:style w:type="character" w:styleId="833" w:customStyle="1">
    <w:name w:val="Title Char"/>
    <w:basedOn w:val="779"/>
    <w:link w:val="813"/>
    <w:uiPriority w:val="10"/>
    <w:qFormat/>
    <w:rPr>
      <w:sz w:val="48"/>
      <w:szCs w:val="48"/>
    </w:rPr>
  </w:style>
  <w:style w:type="character" w:styleId="834" w:customStyle="1">
    <w:name w:val="Subtitle Char"/>
    <w:basedOn w:val="779"/>
    <w:link w:val="805"/>
    <w:uiPriority w:val="11"/>
    <w:qFormat/>
    <w:rPr>
      <w:sz w:val="24"/>
      <w:szCs w:val="24"/>
    </w:rPr>
  </w:style>
  <w:style w:type="paragraph" w:styleId="835">
    <w:name w:val="Quote"/>
    <w:basedOn w:val="769"/>
    <w:next w:val="769"/>
    <w:link w:val="836"/>
    <w:uiPriority w:val="29"/>
    <w:qFormat/>
    <w:pPr>
      <w:ind w:left="720" w:right="720"/>
    </w:pPr>
    <w:rPr>
      <w:i/>
    </w:rPr>
  </w:style>
  <w:style w:type="character" w:styleId="836" w:customStyle="1">
    <w:name w:val="Quote Char"/>
    <w:link w:val="835"/>
    <w:uiPriority w:val="29"/>
    <w:qFormat/>
    <w:rPr>
      <w:i/>
    </w:rPr>
  </w:style>
  <w:style w:type="paragraph" w:styleId="837">
    <w:name w:val="Intense Quote"/>
    <w:basedOn w:val="769"/>
    <w:next w:val="769"/>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Intense Quote Char"/>
    <w:link w:val="837"/>
    <w:uiPriority w:val="30"/>
    <w:qFormat/>
    <w:rPr>
      <w:i/>
    </w:rPr>
  </w:style>
  <w:style w:type="character" w:styleId="839" w:customStyle="1">
    <w:name w:val="Header Char"/>
    <w:basedOn w:val="779"/>
    <w:uiPriority w:val="99"/>
    <w:qFormat/>
  </w:style>
  <w:style w:type="character" w:styleId="840" w:customStyle="1">
    <w:name w:val="Footer Char"/>
    <w:basedOn w:val="779"/>
    <w:uiPriority w:val="99"/>
    <w:qFormat/>
  </w:style>
  <w:style w:type="character" w:styleId="841" w:customStyle="1">
    <w:name w:val="Caption Char"/>
    <w:uiPriority w:val="99"/>
    <w:qFormat/>
  </w:style>
  <w:style w:type="table" w:styleId="842" w:customStyle="1">
    <w:name w:val="Table Grid Light"/>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3" w:customStyle="1">
    <w:name w:val="Plain Table 1"/>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2"/>
    <w:basedOn w:val="7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3"/>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Plain Table 4"/>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Plain Table 5"/>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Grid Table 1 Light"/>
    <w:basedOn w:val="7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basedOn w:val="78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basedOn w:val="78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basedOn w:val="78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basedOn w:val="78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basedOn w:val="78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basedOn w:val="78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5" w:customStyle="1">
    <w:name w:val="Grid Table 2"/>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basedOn w:val="78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basedOn w:val="78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basedOn w:val="78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basedOn w:val="78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basedOn w:val="78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1" w:customStyle="1">
    <w:name w:val="Grid Table 2 - Accent 6"/>
    <w:basedOn w:val="78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2" w:customStyle="1">
    <w:name w:val="Grid Table 3"/>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basedOn w:val="78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basedOn w:val="78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basedOn w:val="78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basedOn w:val="78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basedOn w:val="78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basedOn w:val="78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basedOn w:val="7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basedOn w:val="78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1" w:customStyle="1">
    <w:name w:val="Grid Table 4 - Accent 2"/>
    <w:basedOn w:val="78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2" w:customStyle="1">
    <w:name w:val="Grid Table 4 - Accent 3"/>
    <w:basedOn w:val="78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3" w:customStyle="1">
    <w:name w:val="Grid Table 4 - Accent 4"/>
    <w:basedOn w:val="78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4" w:customStyle="1">
    <w:name w:val="Grid Table 4 - Accent 5"/>
    <w:basedOn w:val="78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5" w:customStyle="1">
    <w:name w:val="Grid Table 4 - Accent 6"/>
    <w:basedOn w:val="78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6" w:customStyle="1">
    <w:name w:val="Grid Table 5 Dark"/>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8" w:customStyle="1">
    <w:name w:val="Grid Table 5 Dark - Accent 2"/>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9" w:customStyle="1">
    <w:name w:val="Grid Table 5 Dark - Accent 3"/>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0" w:customStyle="1">
    <w:name w:val="Grid Table 5 Dark- Accent 4"/>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1" w:customStyle="1">
    <w:name w:val="Grid Table 5 Dark - Accent 5"/>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2" w:customStyle="1">
    <w:name w:val="Grid Table 5 Dark - Accent 6"/>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3" w:customStyle="1">
    <w:name w:val="Grid Table 6 Colorful"/>
    <w:basedOn w:val="7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6 Colorful - Accent 1"/>
    <w:basedOn w:val="78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5" w:customStyle="1">
    <w:name w:val="Grid Table 6 Colorful - Accent 2"/>
    <w:basedOn w:val="78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6" w:customStyle="1">
    <w:name w:val="Grid Table 6 Colorful - Accent 3"/>
    <w:basedOn w:val="78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7" w:customStyle="1">
    <w:name w:val="Grid Table 6 Colorful - Accent 4"/>
    <w:basedOn w:val="78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8" w:customStyle="1">
    <w:name w:val="Grid Table 6 Colorful - Accent 5"/>
    <w:basedOn w:val="78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9" w:customStyle="1">
    <w:name w:val="Grid Table 6 Colorful - Accent 6"/>
    <w:basedOn w:val="78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0" w:customStyle="1">
    <w:name w:val="Grid Table 7 Colorful"/>
    <w:basedOn w:val="7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basedOn w:val="78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basedOn w:val="78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basedOn w:val="78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basedOn w:val="78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basedOn w:val="78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basedOn w:val="78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w:basedOn w:val="7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basedOn w:val="78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9" w:customStyle="1">
    <w:name w:val="List Table 1 Light - Accent 2"/>
    <w:basedOn w:val="78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0" w:customStyle="1">
    <w:name w:val="List Table 1 Light - Accent 3"/>
    <w:basedOn w:val="78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1" w:customStyle="1">
    <w:name w:val="List Table 1 Light - Accent 4"/>
    <w:basedOn w:val="78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basedOn w:val="78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3" w:customStyle="1">
    <w:name w:val="List Table 1 Light - Accent 6"/>
    <w:basedOn w:val="78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4" w:customStyle="1">
    <w:name w:val="List Table 2"/>
    <w:basedOn w:val="7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basedOn w:val="78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6" w:customStyle="1">
    <w:name w:val="List Table 2 - Accent 2"/>
    <w:basedOn w:val="78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7" w:customStyle="1">
    <w:name w:val="List Table 2 - Accent 3"/>
    <w:basedOn w:val="78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8" w:customStyle="1">
    <w:name w:val="List Table 2 - Accent 4"/>
    <w:basedOn w:val="78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9" w:customStyle="1">
    <w:name w:val="List Table 2 - Accent 5"/>
    <w:basedOn w:val="78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0" w:customStyle="1">
    <w:name w:val="List Table 2 - Accent 6"/>
    <w:basedOn w:val="78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1" w:customStyle="1">
    <w:name w:val="List Table 3"/>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basedOn w:val="78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3" w:customStyle="1">
    <w:name w:val="List Table 3 - Accent 2"/>
    <w:basedOn w:val="78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4" w:customStyle="1">
    <w:name w:val="List Table 3 - Accent 3"/>
    <w:basedOn w:val="78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5" w:customStyle="1">
    <w:name w:val="List Table 3 - Accent 4"/>
    <w:basedOn w:val="78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6" w:customStyle="1">
    <w:name w:val="List Table 3 - Accent 5"/>
    <w:basedOn w:val="78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7" w:customStyle="1">
    <w:name w:val="List Table 3 - Accent 6"/>
    <w:basedOn w:val="78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8" w:customStyle="1">
    <w:name w:val="List Table 4"/>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basedOn w:val="78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0" w:customStyle="1">
    <w:name w:val="List Table 4 - Accent 2"/>
    <w:basedOn w:val="78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1" w:customStyle="1">
    <w:name w:val="List Table 4 - Accent 3"/>
    <w:basedOn w:val="78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2" w:customStyle="1">
    <w:name w:val="List Table 4 - Accent 4"/>
    <w:basedOn w:val="78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3" w:customStyle="1">
    <w:name w:val="List Table 4 - Accent 5"/>
    <w:basedOn w:val="78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4" w:customStyle="1">
    <w:name w:val="List Table 4 - Accent 6"/>
    <w:basedOn w:val="78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5" w:customStyle="1">
    <w:name w:val="List Table 5 Dark"/>
    <w:basedOn w:val="7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1"/>
    <w:basedOn w:val="78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2"/>
    <w:basedOn w:val="78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3"/>
    <w:basedOn w:val="78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4"/>
    <w:basedOn w:val="78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5"/>
    <w:basedOn w:val="78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6"/>
    <w:basedOn w:val="78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6 Colorful"/>
    <w:basedOn w:val="7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6 Colorful - Accent 1"/>
    <w:basedOn w:val="78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4" w:customStyle="1">
    <w:name w:val="List Table 6 Colorful - Accent 2"/>
    <w:basedOn w:val="78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5" w:customStyle="1">
    <w:name w:val="List Table 6 Colorful - Accent 3"/>
    <w:basedOn w:val="78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6" w:customStyle="1">
    <w:name w:val="List Table 6 Colorful - Accent 4"/>
    <w:basedOn w:val="78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7" w:customStyle="1">
    <w:name w:val="List Table 6 Colorful - Accent 5"/>
    <w:basedOn w:val="78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8" w:customStyle="1">
    <w:name w:val="List Table 6 Colorful - Accent 6"/>
    <w:basedOn w:val="78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9" w:customStyle="1">
    <w:name w:val="List Table 7 Colorful"/>
    <w:basedOn w:val="7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basedOn w:val="78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basedOn w:val="78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basedOn w:val="78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basedOn w:val="78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basedOn w:val="78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basedOn w:val="78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6" w:customStyle="1">
    <w:name w:val="Lined - Accent"/>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8" w:customStyle="1">
    <w:name w:val="Lined - Accent 2"/>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9" w:customStyle="1">
    <w:name w:val="Lined - Accent 3"/>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0" w:customStyle="1">
    <w:name w:val="Lined - Accent 4"/>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1" w:customStyle="1">
    <w:name w:val="Lined - Accent 5"/>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2" w:customStyle="1">
    <w:name w:val="Lined - Accent 6"/>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3" w:customStyle="1">
    <w:name w:val="Bordered &amp; Lined - Accent"/>
    <w:basedOn w:val="78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basedOn w:val="78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5" w:customStyle="1">
    <w:name w:val="Bordered &amp; Lined - Accent 2"/>
    <w:basedOn w:val="78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6" w:customStyle="1">
    <w:name w:val="Bordered &amp; Lined - Accent 3"/>
    <w:basedOn w:val="78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7" w:customStyle="1">
    <w:name w:val="Bordered &amp; Lined - Accent 4"/>
    <w:basedOn w:val="78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8" w:customStyle="1">
    <w:name w:val="Bordered &amp; Lined - Accent 5"/>
    <w:basedOn w:val="78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9" w:customStyle="1">
    <w:name w:val="Bordered &amp; Lined - Accent 6"/>
    <w:basedOn w:val="78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0" w:customStyle="1">
    <w:name w:val="Bordered"/>
    <w:basedOn w:val="78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basedOn w:val="78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2" w:customStyle="1">
    <w:name w:val="Bordered - Accent 2"/>
    <w:basedOn w:val="78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3" w:customStyle="1">
    <w:name w:val="Bordered - Accent 3"/>
    <w:basedOn w:val="78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4" w:customStyle="1">
    <w:name w:val="Bordered - Accent 4"/>
    <w:basedOn w:val="78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5" w:customStyle="1">
    <w:name w:val="Bordered - Accent 5"/>
    <w:basedOn w:val="78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6" w:customStyle="1">
    <w:name w:val="Bordered - Accent 6"/>
    <w:basedOn w:val="78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7" w:customStyle="1">
    <w:name w:val="Footnote Text Char"/>
    <w:uiPriority w:val="99"/>
    <w:qFormat/>
    <w:rPr>
      <w:sz w:val="18"/>
    </w:rPr>
  </w:style>
  <w:style w:type="character" w:styleId="968" w:customStyle="1">
    <w:name w:val="Endnote Text Char"/>
    <w:link w:val="799"/>
    <w:uiPriority w:val="99"/>
    <w:qFormat/>
    <w:rPr>
      <w:sz w:val="20"/>
    </w:rPr>
  </w:style>
  <w:style w:type="paragraph" w:styleId="969" w:customStyle="1">
    <w:name w:val="TOC Heading"/>
    <w:uiPriority w:val="39"/>
    <w:unhideWhenUsed/>
    <w:qFormat/>
    <w:rPr>
      <w:rFonts w:hint="default" w:ascii="Times New Roman" w:hAnsi="Times New Roman" w:eastAsia="宋体" w:cs="Times New Roman"/>
    </w:rPr>
  </w:style>
  <w:style w:type="paragraph" w:styleId="970" w:customStyle="1">
    <w:name w:val="目录 111"/>
    <w:basedOn w:val="971"/>
    <w:next w:val="769"/>
    <w:uiPriority w:val="0"/>
    <w:qFormat/>
    <w:pPr>
      <w:jc w:val="left"/>
      <w:spacing w:after="100" w:line="259" w:lineRule="auto"/>
      <w:widowControl/>
    </w:pPr>
    <w:rPr>
      <w:rFonts w:ascii="Calibri" w:hAnsi="Calibri"/>
      <w:sz w:val="22"/>
      <w:szCs w:val="22"/>
    </w:rPr>
  </w:style>
  <w:style w:type="paragraph" w:styleId="971" w:customStyle="1">
    <w:name w:val="正文111"/>
    <w:next w:val="76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72" w:customStyle="1">
    <w:name w:val="wyg1"/>
    <w:uiPriority w:val="6"/>
    <w:qFormat/>
    <w:rPr>
      <w:rFonts w:ascii="Times New Roman" w:hAnsi="Times New Roman" w:eastAsia="宋体" w:cs="Times New Roman"/>
      <w:sz w:val="21"/>
      <w:szCs w:val="24"/>
      <w:lang w:val="en-US" w:eastAsia="zh-CN" w:bidi="ar-SA"/>
    </w:rPr>
  </w:style>
  <w:style w:type="paragraph" w:styleId="973"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974" w:customStyle="1">
    <w:name w:val="正文12"/>
    <w:next w:val="9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脚注文本11"/>
    <w:next w:val="976"/>
    <w:uiPriority w:val="0"/>
    <w:qFormat/>
    <w:pPr>
      <w:ind w:firstLine="200"/>
      <w:jc w:val="left"/>
      <w:spacing w:line="500" w:lineRule="exact"/>
      <w:widowControl w:val="off"/>
    </w:pPr>
    <w:rPr>
      <w:rFonts w:hint="default" w:ascii="宋体" w:hAnsi="Times New Roman" w:eastAsia="Times New Roman" w:cs="Times New Roman"/>
      <w:sz w:val="18"/>
      <w:szCs w:val="18"/>
      <w:lang w:val="en-US" w:eastAsia="zh-CN" w:bidi="ar-SA"/>
    </w:rPr>
  </w:style>
  <w:style w:type="paragraph" w:styleId="976" w:customStyle="1">
    <w:name w:val="索引 51"/>
    <w:basedOn w:val="977"/>
    <w:next w:val="979"/>
    <w:uiPriority w:val="0"/>
    <w:qFormat/>
    <w:pPr>
      <w:ind w:left="798"/>
      <w:jc w:val="left"/>
    </w:pPr>
    <w:rPr>
      <w:rFonts w:ascii="Calibri" w:hAnsi="Calibri"/>
    </w:rPr>
  </w:style>
  <w:style w:type="paragraph" w:styleId="977" w:customStyle="1">
    <w:name w:val="脚注文本1"/>
    <w:next w:val="978"/>
    <w:uiPriority w:val="0"/>
    <w:qFormat/>
    <w:pPr>
      <w:ind w:firstLine="200"/>
      <w:jc w:val="left"/>
      <w:spacing w:line="500" w:lineRule="exact"/>
      <w:widowControl w:val="off"/>
    </w:pPr>
    <w:rPr>
      <w:rFonts w:hint="default" w:ascii="宋体" w:hAnsi="Times New Roman" w:eastAsia="Times New Roman" w:cs="Times New Roman"/>
      <w:sz w:val="18"/>
      <w:szCs w:val="18"/>
      <w:lang w:val="en-US" w:eastAsia="zh-CN" w:bidi="ar-SA"/>
    </w:rPr>
  </w:style>
  <w:style w:type="paragraph" w:styleId="978" w:customStyle="1">
    <w:name w:val="正文文本1"/>
    <w:basedOn w:val="977"/>
    <w:next w:val="979"/>
    <w:uiPriority w:val="0"/>
    <w:qFormat/>
    <w:pPr>
      <w:spacing w:after="120"/>
    </w:pPr>
  </w:style>
  <w:style w:type="paragraph" w:styleId="979" w:customStyle="1">
    <w:name w:val="正文1"/>
    <w:basedOn w:val="971"/>
    <w:next w:val="980"/>
    <w:uiPriority w:val="0"/>
    <w:qFormat/>
    <w:pPr>
      <w:ind w:firstLine="200"/>
      <w:spacing w:line="500" w:lineRule="exact"/>
    </w:pPr>
    <w:rPr>
      <w:rFonts w:eastAsia="仿宋"/>
      <w:sz w:val="24"/>
    </w:rPr>
  </w:style>
  <w:style w:type="paragraph" w:styleId="980" w:customStyle="1">
    <w:name w:val="文本块1"/>
    <w:basedOn w:val="769"/>
    <w:next w:val="981"/>
    <w:uiPriority w:val="99"/>
    <w:unhideWhenUsed/>
    <w:qFormat/>
    <w:pPr>
      <w:ind w:left="1440" w:right="1440"/>
      <w:spacing w:after="120"/>
    </w:pPr>
  </w:style>
  <w:style w:type="paragraph" w:styleId="981" w:customStyle="1">
    <w:name w:val="标题 41"/>
    <w:basedOn w:val="982"/>
    <w:next w:val="782"/>
    <w:uiPriority w:val="0"/>
    <w:qFormat/>
    <w:pPr>
      <w:keepLines/>
      <w:keepNext/>
      <w:spacing w:before="280" w:after="290" w:line="376" w:lineRule="auto"/>
      <w:outlineLvl w:val="3"/>
    </w:pPr>
    <w:rPr>
      <w:sz w:val="28"/>
      <w:szCs w:val="28"/>
    </w:rPr>
  </w:style>
  <w:style w:type="paragraph" w:styleId="982" w:customStyle="1">
    <w:name w:val="标题1"/>
    <w:basedOn w:val="971"/>
    <w:next w:val="983"/>
    <w:uiPriority w:val="0"/>
    <w:qFormat/>
    <w:pPr>
      <w:jc w:val="center"/>
      <w:spacing w:before="300" w:after="300"/>
      <w:outlineLvl w:val="0"/>
    </w:pPr>
    <w:rPr>
      <w:rFonts w:ascii="Cambria" w:hAnsi="Cambria" w:eastAsia="仿宋_GB2312"/>
      <w:b/>
      <w:bCs/>
      <w:sz w:val="36"/>
      <w:szCs w:val="32"/>
    </w:rPr>
  </w:style>
  <w:style w:type="paragraph" w:styleId="983" w:customStyle="1">
    <w:name w:val="正文112"/>
    <w:next w:val="9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4" w:customStyle="1">
    <w:name w:val="正文首行缩进1"/>
    <w:basedOn w:val="789"/>
    <w:next w:val="985"/>
    <w:uiPriority w:val="0"/>
    <w:qFormat/>
    <w:pPr>
      <w:ind w:firstLine="420"/>
    </w:pPr>
    <w:rPr>
      <w:rFonts w:ascii="仿宋_GB2312" w:hAnsi="Times New Roman" w:eastAsia="仿宋_GB2312"/>
      <w:sz w:val="30"/>
      <w:szCs w:val="30"/>
    </w:rPr>
  </w:style>
  <w:style w:type="paragraph" w:styleId="985" w:customStyle="1">
    <w:name w:val="正文首行缩进 211"/>
    <w:basedOn w:val="986"/>
    <w:next w:val="983"/>
    <w:uiPriority w:val="0"/>
    <w:qFormat/>
    <w:pPr>
      <w:ind w:firstLine="420"/>
    </w:pPr>
    <w:rPr>
      <w:sz w:val="24"/>
    </w:rPr>
  </w:style>
  <w:style w:type="paragraph" w:styleId="986" w:customStyle="1">
    <w:name w:val="正文文本缩进11"/>
    <w:basedOn w:val="782"/>
    <w:next w:val="983"/>
    <w:uiPriority w:val="0"/>
    <w:qFormat/>
    <w:pPr>
      <w:ind w:left="420"/>
      <w:spacing w:after="120"/>
    </w:pPr>
    <w:rPr>
      <w:rFonts w:ascii="Calibri" w:hAnsi="Calibri"/>
    </w:rPr>
  </w:style>
  <w:style w:type="paragraph" w:styleId="987" w:customStyle="1">
    <w:name w:val="正文文本缩进1"/>
    <w:basedOn w:val="977"/>
    <w:uiPriority w:val="0"/>
    <w:qFormat/>
    <w:pPr>
      <w:ind w:left="420"/>
      <w:spacing w:after="120"/>
    </w:pPr>
  </w:style>
  <w:style w:type="paragraph" w:styleId="988" w:customStyle="1">
    <w:name w:val="普通(网站)1"/>
    <w:basedOn w:val="977"/>
    <w:uiPriority w:val="0"/>
    <w:qFormat/>
    <w:pPr>
      <w:jc w:val="left"/>
      <w:spacing w:before="100" w:beforeAutospacing="1" w:after="100" w:afterAutospacing="1"/>
      <w:widowControl/>
    </w:pPr>
    <w:rPr>
      <w:rFonts w:ascii="宋体" w:hAnsi="宋体"/>
      <w:sz w:val="24"/>
    </w:rPr>
  </w:style>
  <w:style w:type="paragraph" w:styleId="989" w:customStyle="1">
    <w:name w:val="Body text|21"/>
    <w:basedOn w:val="769"/>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990" w:customStyle="1">
    <w:name w:val="标准"/>
    <w:basedOn w:val="769"/>
    <w:uiPriority w:val="0"/>
    <w:qFormat/>
    <w:pPr>
      <w:ind w:firstLine="200"/>
      <w:spacing w:line="360" w:lineRule="auto"/>
    </w:pPr>
    <w:rPr>
      <w:rFonts w:cs="宋体"/>
      <w:sz w:val="20"/>
      <w:szCs w:val="20"/>
    </w:rPr>
  </w:style>
  <w:style w:type="paragraph" w:styleId="991" w:customStyle="1">
    <w:name w:val="寄信人地址1"/>
    <w:basedOn w:val="977"/>
    <w:uiPriority w:val="0"/>
    <w:qFormat/>
    <w:pPr>
      <w:ind w:firstLine="200"/>
    </w:pPr>
    <w:rPr>
      <w:rFonts w:ascii="Arial" w:hAnsi="Arial" w:eastAsia="仿宋_GB2312"/>
    </w:rPr>
  </w:style>
  <w:style w:type="character" w:styleId="992" w:customStyle="1">
    <w:name w:val="font41"/>
    <w:basedOn w:val="779"/>
    <w:uiPriority w:val="0"/>
    <w:qFormat/>
    <w:rPr>
      <w:rFonts w:hint="eastAsia" w:ascii="等线" w:hAnsi="等线" w:eastAsia="等线" w:cs="等线"/>
      <w:color w:val="000000"/>
      <w:sz w:val="22"/>
      <w:szCs w:val="22"/>
      <w:u w:val="none"/>
    </w:rPr>
  </w:style>
  <w:style w:type="paragraph" w:styleId="993" w:customStyle="1">
    <w:name w:val="页脚1"/>
    <w:basedOn w:val="977"/>
    <w:uiPriority w:val="0"/>
    <w:qFormat/>
    <w:pPr>
      <w:jc w:val="left"/>
      <w:tabs>
        <w:tab w:val="center" w:pos="4153" w:leader="none"/>
        <w:tab w:val="right" w:pos="8306" w:leader="none"/>
      </w:tabs>
    </w:pPr>
    <w:rPr>
      <w:sz w:val="18"/>
      <w:szCs w:val="18"/>
    </w:rPr>
  </w:style>
  <w:style w:type="character" w:styleId="994" w:customStyle="1">
    <w:name w:val="批注框文本 Char"/>
    <w:basedOn w:val="779"/>
    <w:link w:val="800"/>
    <w:uiPriority w:val="0"/>
    <w:qFormat/>
    <w:rPr>
      <w:sz w:val="18"/>
      <w:szCs w:val="18"/>
    </w:rPr>
  </w:style>
  <w:style w:type="paragraph" w:styleId="995" w:customStyle="1">
    <w:name w:val="日期1"/>
    <w:basedOn w:val="977"/>
    <w:next w:val="977"/>
    <w:uiPriority w:val="0"/>
    <w:qFormat/>
    <w:rPr>
      <w:rFonts w:eastAsia="仿宋_GB2312"/>
      <w:sz w:val="28"/>
      <w:szCs w:val="20"/>
    </w:rPr>
  </w:style>
  <w:style w:type="paragraph" w:styleId="996" w:customStyle="1">
    <w:name w:val="正文文本 21"/>
    <w:basedOn w:val="977"/>
    <w:uiPriority w:val="0"/>
    <w:qFormat/>
    <w:pPr>
      <w:spacing w:after="120" w:line="480" w:lineRule="auto"/>
    </w:pPr>
  </w:style>
  <w:style w:type="paragraph" w:styleId="997">
    <w:name w:val="List Paragraph"/>
    <w:uiPriority w:val="34"/>
    <w:qFormat/>
    <w:pPr>
      <w:ind w:firstLine="420"/>
      <w:spacing w:after="160" w:line="259" w:lineRule="auto"/>
    </w:pPr>
    <w:rPr>
      <w:rFonts w:hint="default" w:asciiTheme="minorHAnsi" w:hAnsiTheme="minorHAnsi" w:eastAsiaTheme="minorEastAsia" w:cstheme="minorBidi"/>
      <w:sz w:val="22"/>
      <w:szCs w:val="22"/>
      <w:lang w:val="en-US" w:eastAsia="zh-CN" w:bidi="ar-SA"/>
      <w14:ligatures w14:val="standardContextual"/>
    </w:rPr>
  </w:style>
  <w:style w:type="paragraph" w:styleId="998" w:customStyle="1">
    <w:name w:val="Plain Text1"/>
    <w:basedOn w:val="977"/>
    <w:uiPriority w:val="0"/>
    <w:qFormat/>
    <w:pPr>
      <w:jc w:val="left"/>
    </w:pPr>
    <w:rPr>
      <w:rFonts w:ascii="宋体" w:hAnsi="宋体" w:eastAsia="楷体_GB2312"/>
      <w:sz w:val="26"/>
      <w:szCs w:val="20"/>
    </w:rPr>
  </w:style>
  <w:style w:type="character" w:styleId="999" w:customStyle="1">
    <w:name w:val="font11"/>
    <w:basedOn w:val="779"/>
    <w:uiPriority w:val="0"/>
    <w:qFormat/>
    <w:rPr>
      <w:rFonts w:hint="eastAsia" w:ascii="等线" w:hAnsi="等线" w:eastAsia="等线" w:cs="等线"/>
      <w:color w:val="000000"/>
      <w:sz w:val="20"/>
      <w:szCs w:val="20"/>
      <w:u w:val="none"/>
    </w:rPr>
  </w:style>
  <w:style w:type="paragraph" w:styleId="1000" w:customStyle="1">
    <w:name w:val="正文缩进11"/>
    <w:basedOn w:val="769"/>
    <w:uiPriority w:val="0"/>
    <w:unhideWhenUsed/>
    <w:qFormat/>
    <w:pPr>
      <w:ind w:firstLine="420"/>
    </w:pPr>
  </w:style>
  <w:style w:type="character" w:styleId="1001" w:customStyle="1">
    <w:name w:val="页眉 Char"/>
    <w:basedOn w:val="779"/>
    <w:link w:val="802"/>
    <w:uiPriority w:val="0"/>
    <w:qFormat/>
    <w:rPr>
      <w:sz w:val="18"/>
      <w:szCs w:val="18"/>
    </w:rPr>
  </w:style>
  <w:style w:type="paragraph" w:styleId="1002" w:customStyle="1">
    <w:name w:val="页眉1"/>
    <w:basedOn w:val="977"/>
    <w:uiPriority w:val="0"/>
    <w:qFormat/>
    <w:pPr>
      <w:jc w:val="center"/>
      <w:tabs>
        <w:tab w:val="center" w:pos="4153" w:leader="none"/>
        <w:tab w:val="right" w:pos="8306" w:leader="none"/>
      </w:tabs>
      <w:pBdr>
        <w:bottom w:val="single" w:color="000000" w:sz="6" w:space="1"/>
      </w:pBdr>
    </w:pPr>
    <w:rPr>
      <w:sz w:val="18"/>
      <w:szCs w:val="18"/>
    </w:rPr>
  </w:style>
  <w:style w:type="character" w:styleId="1003" w:customStyle="1">
    <w:name w:val="NormalCharacter"/>
    <w:uiPriority w:val="0"/>
    <w:semiHidden/>
    <w:qFormat/>
    <w:rPr>
      <w:sz w:val="28"/>
      <w:lang w:val="en-US" w:eastAsia="zh-CN" w:bidi="ar-SA"/>
    </w:rPr>
  </w:style>
  <w:style w:type="paragraph" w:styleId="1004" w:customStyle="1">
    <w:name w:val="文本块11"/>
    <w:basedOn w:val="769"/>
    <w:uiPriority w:val="6"/>
    <w:unhideWhenUsed/>
    <w:qFormat/>
    <w:pPr>
      <w:ind w:left="1440" w:right="1440"/>
      <w:spacing w:after="120"/>
    </w:pPr>
  </w:style>
  <w:style w:type="paragraph" w:styleId="1005" w:customStyle="1">
    <w:name w:val="列表段落"/>
    <w:basedOn w:val="769"/>
    <w:uiPriority w:val="34"/>
    <w:qFormat/>
    <w:pPr>
      <w:contextualSpacing/>
      <w:ind w:left="720"/>
    </w:pPr>
  </w:style>
  <w:style w:type="paragraph" w:styleId="1006" w:customStyle="1">
    <w:name w:val="正文缩进1"/>
    <w:basedOn w:val="977"/>
    <w:uiPriority w:val="0"/>
    <w:qFormat/>
    <w:pPr>
      <w:ind w:firstLine="420"/>
    </w:p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薛宁</cp:lastModifiedBy>
  <cp:revision>23</cp:revision>
  <dcterms:created xsi:type="dcterms:W3CDTF">2024-10-25T13:03:00Z</dcterms:created>
  <dcterms:modified xsi:type="dcterms:W3CDTF">2025-10-20T07:25:51Z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6E13D238CB0A4E4B9CAC62C5DE3E4653_13</vt:lpwstr>
  </property>
  <property fmtid="{D5CDD505-2E9C-101B-9397-08002B2CF9AE}" pid="4" name="KSOTemplateDocerSaveRecord">
    <vt:lpwstr>eyJoZGlkIjoiZmIzMGViNmQ0ZjZkYTA5NDY3YWRmMDQyNWYyY2UxZDgiLCJ1c2VySWQiOiI0MTc5ODIyMDUifQ==</vt:lpwstr>
  </property>
</Properties>
</file>